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/>
    <w:p>
      <w:r>
        <w:t xml:space="preserve">DANOS PESSOAIS — QUANDO DEVE SER ATRIBUÍDO POR ARBITRAMENTO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principal é de responsabilidade civil por danos pessoais, cujo valor indenizatório será objeto de apuração superveniente. As verbas solicitadas na inicial não apresentam quantitativo certo e a invocação do salário da vítima funciona apenas como mero referencial para o pensionamento, caso proceda o pedido, não se podendo, agora, nem mesmo cogitar de um determinado percentual. Logo, se inexiste valor certo para as prestações pleiteadas, não incide a regra do art. 260 do C.P.C. - Por outro lado, o caso dos autos não está compreendido no elenco do art. 259, e sendo induvidoso que os autos não exibem qualquer elemento capaz de permitir concretamente a aferição do montante do interesse econômico perseguido, era de recorrerem os Autores-agravados, efetivamente, ao expediente do arbitramento para cumprirem o mandamento do art. 258 do estatuto processual. - Sobre a pretensão da Agravante, de ver a causa valorada em um milhão de cruzados, observe-se que, com isso, na verdade, a Recorrente quer substituir os autores no mistér de arbitrá-lo. - É do ilustre Dr. Juiz monocrático, entretanto, o argumento q ue melhor repele essa investida. Disse S. Exa., que, considerados os pedidos postos na inicial, difícil é dizer qual dos valores (Cz$ 10.000,00 ou Cz$ 1.000.000,00) apresenta-se mais incerto, posto que ambos afiguram-se errôneos. Os elementos necessários para a devida correção, diz-se agora, só a final serão obtidos. E em lá se chegando, tudo será colocado nos seus lugares. - Assim, mantém-se a decisão agravada. Ac. de 23-02-1988 Arquivo do EMFOR - TA/938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indenizatória por danos pessoais, se da inicial não constam dados aritméticos precisos, capazes de ensejar, desde logo, a concreta aferição do proveito econômico almejado pelos autores, o valor da causa há de ser atribuído por arbitramento. E ainda que transpareça reduzido o constante da peça vestibular, é de desacolher-se o incidente de impugnação se os autos não oferecem os elementos necessário à precisa valoração do pedido e o quantitativo alvitrado pelo impugnante afigura-se igualmente arbitrário. E porque, no caso, tais elementos só a final poderão ser obtidos, em lá se chegando tudo será posto no devido lugar, sendo inoportuno cogitar-se de perícia prévia para obtê-los, uma vez constituir tal diligência verdadeira antecipação da liquidação de sentença ainda não proferida.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2026-10-26T03:10:31.680Z</dcterms:created>
  <dcterms:modified xsi:type="dcterms:W3CDTF">2026-10-26T03:10:31.680Z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