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/>
    <w:p>
      <w:r>
        <w:t xml:space="preserve">PEDIDO DE PENSÕES VENCIDAS E VINCENDAS — SUA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responsabilidade civil onde a agravada postula pensões vencidas e vincendas, na soma de 2/3 do salário mínimo, por atropelamento mortal de seu filho, além de outras verbas, ficando o valor da causa em Cr$ 30.000 (trinta mil cruzeiros). - Logo, há fáceis meios de se estimar moderadamente o benefício patrimonial requerido, ainda que em valor aproximado, ao invés de se tolerar uma fixação arbitrária e visivelmente irrisória desse valor (30.000). - Assim, o valor da causa deve corresponder a 12 vezes 2/3 do salário mínimo para as "prestações vencidas" e outras tantas para as "vincendas" postuladas na inicial (2/3 do salário mínimo). - Dá-se, para esse efeito, provimento ao presente agravo. Ac. de 14-11-1985 Arquivo do EMFOR, TA/709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estimativa do autor desatende, ostensivamente, ao conteúdo econômico imediato ou ao benefício patrimonial requerido, ainda que inaferível, a priori, em valor absolutamente certo, deve ser retificado para o valor que mais se aproxima da realidade. Como tal deve ser entendido o de 24 vezes 2/3 do salário mínimo vigente à data do ajuizamento do pedido, segundo a pensão mensal postulada.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2026-10-26T03:08:22.067Z</dcterms:created>
  <dcterms:modified xsi:type="dcterms:W3CDTF">2026-10-26T03:08:22.067Z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