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REAJUSTAMENTO DE PRESTAÇÕES</w:t>
      </w:r>
    </w:p>
    <w:p/>
    <w:p>
      <w:r>
        <w:rPr>
          <w:b/>
          <w:bCs/>
        </w:rPr>
        <w:t xml:space="preserve">Recurso: </w:t>
      </w:r>
      <w:r>
        <w:t xml:space="preserve">REsp 11.279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15/09/1991</w:t>
      </w:r>
    </w:p>
    <w:p/>
    <w:p>
      <w:r>
        <w:t xml:space="preserve">AÇÕES RELATIVAS AO REAJUSTAMENTO DAS PRESTAÇÕES — COMO SE FIXA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tema já foi apreciado por esta Turma. - No julgamento do REsp 11.279, fomos conduzidos pelo E. Ministro GARCIA VIEIRA, ao entendimento de que: "O valor da causa, na ação onde se discute a ilegalidade do reajuste das prestações da casa própria, há de corresponder à diferença do índice de reajustamento pretendido pelo agente financeiro e o pleiteado pelo mutuário, doze vezes". (julgado em 16-9-91). - Na Segunda Turma, a questão já foi, também, agitada e resolvida, "in verbis": "Nas ações relativas ao reajustamento das prestações do SFH, em que se discute cláusula contratual, o valor da causa deve ser estabelecido levando-se em conta a diferença entre a atualização exigida pelo mutuante e a pretendida pelo mutuário". (REsp 37.816 - Rel. o E. Min. PEÇANHA MARTINS - em 6-10-93). Ac. de 06-02-1995 Arquivo do EMFOR, STJ/1.066 EMENTÁRIO FORENSE. Maio, 1995. Ano XLVII. Nº 558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processo em que se discute o reajustamento de prestações relacionadas com financiamentos do SFH, o valor da causa é doze vezes a diferença entre a pretensão do mutuário e aquela do mutuante.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2026-10-26T02:18:27.190Z</dcterms:created>
  <dcterms:modified xsi:type="dcterms:W3CDTF">2026-10-26T02:18:27.190Z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