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 19.739</w:t>
      </w:r>
    </w:p>
    <w:p>
      <w:r>
        <w:rPr>
          <w:b/>
          <w:bCs/>
        </w:rPr>
        <w:t xml:space="preserve">Julgado em: </w:t>
      </w:r>
      <w:r>
        <w:t xml:space="preserve">24/11/1996</w:t>
      </w:r>
    </w:p>
    <w:p/>
    <w:p>
      <w:r>
        <w:t xml:space="preserve">CONSENTIMENTO DOS DEMAIS DESCENDENTES — REQUISITO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"Como se observa, portanto, não se questionou na inicial, balizadora do julgamento da ação, a veracidade do contrato e a justiça dos preços pagos, ficando descartada, daí, a perquirição sobre a existência de doação. Em sendo iguais, nas compras e vendas, os valores das prestações, descartada fica a alegação de nulidade em conformidade com o que dispõe o art. 1.164, II, do CC. - Consoante o magistério de AGOSTINHO ALVIM, não se justifica o tratamento normativo diferenciado nas hipóteses de compra e venda e de permuta: `Já nos pareceu que não; mas hoje respondemos também pela afirmativa, por força de um argumento que julgamos irrecusável, extraído do art. 1.164, inc. II, do CC. Com efeito, no caso de permuta, entre ascendentes e descendentes, valerá ela, ou deixará de valer, conforme os valores tiverem ou não sido iguais. Ora, se é a própria lei, que ao disciplinar a troca satisfaz-se com equivalência de valores, verificada a posteriori, a resposta à indagação que formulamos terá que ser afirmativa, pois não é razoável supor que o legislador varie de critério, ao se ocupar de casos idênticos, uma vez que a hipótese da troca, para os efeitos visados, em nada diversifica da venda. Feita a prova da igualdade de valores, ou seja, de ter sido pago o justo preço, o motivo da nulidade terá desaparecido' (Da compra e venda e da troca, Rio/S. Paulo, Ed. Forense, 1ª ed., 1961, p. 70, n. 68). Portanto, não questionada a equivalência dos valores das quotas e dos preços p agos, data venia, descabe falar em nulidade, ficando, em decorrência, provido o recurso". - Todavia, afrontando esse ponto quanto ao art. 1.164, II, do CC nos declaratórios, pelos recorrentes, inobstante reconhecer então existente o questionamento, manteve-se o acórdão embargado ao suporte de inexistência de prova da "falta de equivalência dos valores das cotas e dos preços pagos" (f.). - Contudo, afigura-se absolutamente equivocado o decisum, afastada a alegada falta de prequestionamento é de ver, que este, a rigor necessário não era, eis que não se cuida de troca como quer o texto da lei invocado pelo acórdão (art. 1.164, II, do CC), mas sim de venda e compra de ascendente para descendente sem a anuência dos demais. - Matéria, portanto, contemplada não no dispositivo citado no acórdão mas no art. 1.132 do mesmo diploma legal. - Por isso que melhor sorte, logrou a sentença. - No seu contexto, lê-se (f.): "Restou indiscutível a violação do art. 1.132 do CC, com a transferência da integralidade das cotas sociais que o falecido Szmul e sua mulher Chaja tinham no Magazine Aurita Ltda., para a filha Miriam Huruvitz e seu marido, sem o consentimento do filho autor, impondo-se a desconstituição deste ato jurídico de transferência. Com efeito, se alguém vende ao filho sem o consentimento dos outros filhos, viola a regra jurídica do art. 1.132 do CC, para cuja violação a sanção é a nulidade do contrato de compra e venda ou de transferência, por se cuidar de fraude à lei. Mesmo que o ato seja praticado pelos pais a título oneroso, tal intuito não descaracteriza a nulidade do negócio jurídico, eis que haja ou não simulação de venda, esta será irremediavelmente nula. Ademais, somente à vista de provas concretas e convincentes, a cargo do beneficiário, de que não houve prejuízo para o autor, é que, eventualmente, poderia desaparecer a presunção de fraude. Contudo, à falta de demonstração de au sência de prejuízo, não pode convalescer o ato, impondo-se a sua desconstituição". - Na verdade, trata-se de alienação de quotas de sociedade transacionadas por ascendente (consorte supérstite), inventariante, pertencentes a si e ao de cujus, as quais transferira a descendentes, sem a anuência dos demais. - No campo sucessório, como no caso de que se cuida, essa autorização é indispensável. É o que se dessume da doutrina e da jurisprudência. "É dispensável que o demandante faça a prova da simulação. O fundamento legal, advindo das Ordenações, é o pré-excluir enganos e demandas, não estando, portanto, adstrito ao de evitar dissimulações de doações (cf., a propósito, PONTES DE MIRANDA, Tratado de Direito Privado, T. XXXIX, Borsoi, 2.a ed., 1962, p. 79). E a melhor jurisprudência a respeito é aquela oriunda do Pretório Excelso, que merece ser transcrita: `A ratio do art. 1.132 é, sem dúvida, evitar que, sob a aparência de venda, se dissimulem doações prejudiciais aos outros descendentes; mas de seu texto não pode aduzir que a anulabilidade da venda esteja condicionada à prova da simulação: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vedação legal da venda de bens entre ascendente e descendente, segundo a jurisprudência, tem por objetivo evitar que, sob a aparência de venda, se dissimulem doações prejudiciais aos outros descendentes; mas não se pode aduzir que a anulabilidade da venda esteja condicionada à prova da simulação. A condição única e suficiente é que a venda tenha sido feita sem o assentimento dos demais descendentes. Inteligência do art. 1.132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2026-07-28T01:43:50.411Z</dcterms:created>
  <dcterms:modified xsi:type="dcterms:W3CDTF">2026-07-28T01:43:50.411Z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