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</w:t>
      </w:r>
    </w:p>
    <w:p/>
    <w:p>
      <w:r>
        <w:rPr>
          <w:b/>
          <w:bCs/>
        </w:rPr>
        <w:t xml:space="preserve">Recurso: </w:t>
      </w:r>
      <w:r>
        <w:t xml:space="preserve">MS 11.089</w:t>
      </w:r>
    </w:p>
    <w:p/>
    <w:p>
      <w:r>
        <w:t xml:space="preserve">ACESSO — PRIVATIVIDADE DOS AUDITORES DE SEGUNDA ENTRÂNCIA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o acesso de auditores ao Superior Tribunal Militar só concorrem os de segunda entrância. Referência: - Cód. Just. Militar, artigos 8º, parágrafo único, 31 e 54, "a"; - Dec.Lei nº 6.509, de 18.05.44, artigo 1º, parágrafo único MS 11.089, de 20.03.63 (D. de Just. de 24.05.63, p. 323). Súmula de Jurisprudência Predominante do Supremo Tribunal Federal - Aprovada em Sessão de 13-12-1963 - pág. 35 N. da R.: A Súmula estaria melhor redigida como se segue: "SÓ OS AUDITORES DE SEGUNDA ENTRÂNCIA PODEM CONCORRER AO SUPERIOR TRIBUNAL MILITAR" EMENTÁRIO FORENSE. Dezembro, 1964. Ano XVI. Nº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2026-10-26T03:48:09.466Z</dcterms:created>
  <dcterms:modified xsi:type="dcterms:W3CDTF">2026-10-26T03:48:09.466Z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