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/>
    <w:p>
      <w:r>
        <w:t xml:space="preserve">AÇÃO DE INDENIZAÇÃO CUMULADA COM PRECEITO COMINATÓRIO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CC, no Art. 554, assegura ao proprietário ou inquilino o direito de impedir que o mau uso da propriedade vizinha possa prejudicar sua segurança, sossego e saúde. Pouco importa se intencional ou não. A fixação do preceito cominatório decorre da simples verificação do uso anormal da propriedade pelo vizinho, causando incômodos, mas seu objetivo não é o ressarcimento de danos, que possui caminhos próprios para ser garantido, mas compelir aquele que faz uso abusivo ou excessivo da propriedade a abster-se desta prática, sob pena de lhe ser imposta uma multa periodicamente incidível. - O magistério de CALMON DE PASSOS, in Comentários ao CPC, Forense, 6ª ed. 1991, págs. 130/131, não deixa dúvidas quanto ao objeto e alcance da ação cominatória, verbis: "a cominação é de pena pecuniária, multa. Uma importância global; uma importância proporcional a certo período de tempo etc., mas pena pecuniária que se revista do caráter de multa, sem cunho reparatório, mas sim de forma indireta de coagir o réu a prestar o fato a que estiver obrigado ... a ação é para impedir o mau uso. Obter, por conseguinte, sob cominação pecuniária, que o réu faça ou deixe de fazer alguma coisa. Não é ação para ressarcimento de danos". - .................................................................... ... - Correta a recorrente. A aplicação de pena pecuniária é corolário inafastável da procedência da ação cominatória. Provado que a apelada exerce atividade nociva ao sossego, segurança e saúde dos vizinhos, deve a sentença acolher o pedido inicial para o fim de fixar a pena cominatório em NCz$ 50,00 (corrigidos de acordo com os índices oficiais), para cada dia de atraso na satisfação do preceito, qual seja, o de cessar a emissão dos poluentes, seja pela paralisação das atividades que poluem, seja pela instalação de mecanismos que os evitem. "Cuidando-se de obrigação de fazer ou não fazer, na execução da sentença para prestação do fato, se inadimplente o réu ao preceito da sentença, atender-se-á ao art. 632 e ss. do Código. E nelas se prevê a possibilidade de o credor exequente requerer seja executada obrigação às custas do devedor, ou de haver o exequente perdas e danos. Isso sem prejuízo da cominação contida na sentença, que se soma, e pode ser executada como dívida de quantia certa". Ac. de 26-08-1992 Revista dos Tribunais - Outubro de 1992 - Vol. 696 - Pág. 193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luz do art. 554 do CC, o proprietário ou inquilino de um prédio tem o direito de impedir que o mau uso da propriedade vizinha possa prejudicar a segurança, o sossego e a saúde dos que o habitam. Assim, comprovada a relação de causa e efeito entre a ação poluidora da funilaria e os estragos na pintura da casa, faz jus o vizinho ao ressarcimento das despesas efetuadas na pintura e, ainda, à fixação de um preceito cominatório, periodicamente incidível, caso a empresa não adote medidas capazes de paralisar a emissão dos poluentes. Um e outro pedido, em razão da natureza jurídica diversa, não se confundem.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2026-07-27T23:53:53.657Z</dcterms:created>
  <dcterms:modified xsi:type="dcterms:W3CDTF">2026-07-27T23:53:53.657Z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