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/>
    <w:p>
      <w:r>
        <w:t xml:space="preserve">LEGITIMIDADE ATIVA DO SIMPLES OCUPANTE DO IMÓVEL VIZINHO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seu apelo, reedita a recorrente a preliminar de ilegitimidade ativa do autor, fulcrada no art. 554 do Código Civil, visto não ter o apelado comprovado a sua condição de proprietário ou inquilino do prédio, para que pudesse intentar a presente ação. - ........................................................................................ - O autor, como provado nos autos, pelos elementos nele contidos, reside na casa 8 e a ré, na casa 6, de uma vila de oito casas. - É bem verdade não ter vindo aos autos a prova de propriedade e também a da condição de locatário, do autor, do imóvel em que reside, razão pela qual a apelante invocou o disposto no art. 554 do Código Civil, que se refere a proprietário e inquilino. - No entanto, a condição de ocupante da casa 8, pelo autor, é inconteste. Está a parecer que a ocupação, na hipótese, só pode ser como proprietário ou locatário. Ac. de 02-12-1987 Arquivo do EMFOR - TA/978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ocupante do imóvel vizinho tem legitimidade ativa para propor ação sumaríssima para, com fundamento no art. 554 do Código Civil, compelir o réu a abster-se de bloquear passagem de veículo em rua particular, bem como a reduzir o volume de som, independentemente da prova de ser proprietário ou inquilino.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2026-07-28T02:26:18.462Z</dcterms:created>
  <dcterms:modified xsi:type="dcterms:W3CDTF">2026-07-28T02:26:18.462Z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