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INCORPORAÇÃO DE BEM À SOCIEDADE</w:t>
      </w:r>
    </w:p>
    <w:p/>
    <w:p>
      <w:r>
        <w:rPr>
          <w:b/>
          <w:bCs/>
        </w:rPr>
        <w:t xml:space="preserve">Julgado em: </w:t>
      </w:r>
      <w:r>
        <w:t xml:space="preserve">14/08/1984</w:t>
      </w:r>
    </w:p>
    <w:p/>
    <w:p>
      <w:r>
        <w:t xml:space="preserve">ENTIDADE DE DIREITO PRIVADO — EMBARGOS DE TERCEIRO OPOSTOS PELA MUNICIPALIDADE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contrário do que sustenta a Municipalidade em seus embargos, a existência desse convênio não significa que a atividade do hospital seja de serviço público na acepção jurídica do termo. Não resta a menor dúvida de que o Poder Público presta serviços de saúde, conforme expressamente previsto no art. 165, XV, da CF. - Ocorre que esse serviço não é privativo às entidades públicas. Somente são serviços públicos privativos da Administração, ressalvada a concessão ou permissão aqueles enumerados no art. 8º, XV, do texto constitucional. - Assim, aos particulares é lícito desempenhar serviços concernentes a saúde pública, independentemente de concessão ou permissão. Essas entidades de Direito Privado estão sujeitas, tão-somente, à fiscalização do Poder Público, que a efetua no exercício normal de sua polícia administrativa" (BANDEIRA DE MELO, CELSO ANTÔNIO - Prestação de Serviços Públicos, 2ª ed., Ed. RT p. 22). - Assim, as entidades assistenciais de Direito Privado que prestam serviços concernentes a saúde pública, não se tornam, por essa circunstância, entes da Administração descentralizada do Poder Público, estando, consequentemente, seus bens sujeitos a penhora. - Dessa forma, não estava a Municipalidade de Jundiaí legitimada ativamente para ajuizar embargos contra a credora, nem mesmo como assistente litisconsorcial, como entendeu a r. sentença. As o brigações contraídas pelo referido Hospital contra terceiros são de obrigação dele, por ter personalidade jurídica própria. - Assim, impõe-se a manutenção do julgado de primeiro grau, que muito bem apreciou a matéria, modificando-se apenas o dispositivo da sentença para carência, reconhecida a ilegitimidade da parte da Prefeitura Municipal de Jundiaí. - Pelo exposto, com a ressalva feita, nega-se provimento ao recurso voluntário, bem como ao oficial, que se considera interposto. Julgado em 15-08-1984 Revista dos Tribunais. Novembro, 1984 - Vol. 589 - Pág. 129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entidades assistenciais de Direito Privado que prestam serviços concernentes a saúde pública, não se tornam, por essa circunstância, entes da Administração descentralizada do Poder Público, estando, consequentemente, seus bens sujeitos a penhora. - Dessa forma, não está a Municipalidade legitimada ativamente para ajuizar embargos contra a credora, nem mesmo como assistente litisconsorcial, pois as obrigações contraídas por essas entidades contra terceiros são obrigações suas, por terem personalidade jurídica própria.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2026-10-26T02:32:28.085Z</dcterms:created>
  <dcterms:modified xsi:type="dcterms:W3CDTF">2026-10-26T02:32:28.085Z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