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/>
    <w:p>
      <w:r>
        <w:t xml:space="preserve">SENTENÇA DESFAVORÁVEL AO INPS EM ACIDENTE DO TRABALHO — SE ESTÁ A ELE SUJEITA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sujeita ao duplo grau de jurisdição, "ut" art. 475, II, do CPC, a sentença desfavorável ao INPS, em ação de acidente do trabalho. V. o st. PRAZO EM DOBRO EMFOR 443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2026-10-26T02:32:45.761Z</dcterms:created>
  <dcterms:modified xsi:type="dcterms:W3CDTF">2026-10-26T02:32:45.761Z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