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Recurso Extraordinário 89.480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>
      <w:r>
        <w:rPr>
          <w:b/>
          <w:bCs/>
        </w:rPr>
        <w:t xml:space="preserve">Julgado em: </w:t>
      </w:r>
      <w:r>
        <w:t xml:space="preserve">13/03/1983</w:t>
      </w:r>
    </w:p>
    <w:p/>
    <w:p>
      <w:r>
        <w:t xml:space="preserve">QUAIS OS BENS SUJEITOS À COMUNHÃO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o enunciado da Súmula 377 (*) do Supremo Tribunal Federal diz que "no regime da separação legal de bens, comunicam-se os adquiridos na constância do casamento", mas não é menos certo que o próprio Pretório Excelso tem aplicado essa súmula com certa reserva e ante a prova de o cônjuge supérstite haver participado do esforço para a aquisição do bem. Neste sentido, acórdão do Tribunal Pleno, nos Embargos do Recurso Extraordinário nº 89.480, cuja ementa está assim concebida: "Regime de Bens no Casamento. Comunicação dos aquestos no regime matrimonial da separação compulsória. Estão sujeito à comunhão apenas os bens adquiridos por esforço comum na constância do casamento." (Relator: Min. DÉCIO MIRANDA). - Destarte, se o caso exigia uma maior perquirição a respeito da aquisição do imóvel, a questão é, sem dúvida, de alta indagação, devendo, por isso mesmo ser apreciada e decidida em sede própria. - De prover-se, pois, o recurso para determinar que a questão pertinente à comunhão dos aquestos seja dirimida pela via ordinária. Julgado em 14-03-1983 Arquivo do EMFOR, TJ/1.378 (*) "No regime da separação legal de bens, comunicam-se os adquiridos na constância do casamento." ("EMFOR", Nº 191).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de separação compulsória de bens, só estão sujeitos à comunhão os bens adquiridos por esforço comum na constância do casamento.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2026-10-26T04:33:11.460Z</dcterms:created>
  <dcterms:modified xsi:type="dcterms:W3CDTF">2026-10-26T04:33:11.460Z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