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Recurso: </w:t>
      </w:r>
      <w:r>
        <w:t xml:space="preserve">Recurso Extraordinário 89.480</w:t>
      </w:r>
    </w:p>
    <w:p>
      <w:r>
        <w:rPr>
          <w:b/>
          <w:bCs/>
        </w:rPr>
        <w:t xml:space="preserve">Relator: </w:t>
      </w:r>
      <w:r>
        <w:t xml:space="preserve">DÉCIO MIRANDA</w:t>
      </w:r>
    </w:p>
    <w:p>
      <w:r>
        <w:rPr>
          <w:b/>
          <w:bCs/>
        </w:rPr>
        <w:t xml:space="preserve">Julgado em: </w:t>
      </w:r>
      <w:r>
        <w:t xml:space="preserve">13/03/1983</w:t>
      </w:r>
    </w:p>
    <w:p/>
    <w:p>
      <w:r>
        <w:t xml:space="preserve">QUAIS OS BENS SUJEITOS À COMUNHÃO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certo que o enunciado da Súmula 377 (*) do Supremo Tribunal Federal diz que "no regime da separação legal de bens, comunicam-se os adquiridos na constância do casamento", mas não é menos certo que o próprio Pretório Excelso tem aplicado essa súmula com certa reserva e ante a prova de o cônjuge supérstite haver participado do esforço para a aquisição do bem. Neste sentido, acórdão do Tribunal Pleno, nos Embargos do Recurso Extraordinário nº 89.480, cuja ementa está assim concebida: "Regime de Bens no Casamento. Comunicação dos aquestos no regime matrimonial da separação compulsória. Estão sujeito à comunhão apenas os bens adquiridos por esforço comum na constância do casamento." (Relator: Min. DÉCIO MIRANDA). - Destarte, se o caso exigia uma maior perquirição a respeito da aquisição do imóvel, a questão é, sem dúvida, de alta indagação, devendo, por isso mesmo ser apreciada e decidida em sede própria. - De prover-se, pois, o recurso para determinar que a questão pertinente à comunhão dos aquestos seja dirimida pela via ordinária. Julgado em 14-03-1983 Arquivo do EMFOR, TJ/1.378 (*) "No regime da separação legal de bens, comunicam-se os adquiridos na constância do casamento." ("EMFOR", Nº 191).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regime de separação compulsória de bens, só estão sujeitos à comunhão os bens adquiridos por esforço comum na constância do casamento.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2026-07-27T23:36:05.302Z</dcterms:created>
  <dcterms:modified xsi:type="dcterms:W3CDTF">2026-07-27T23:36:05.302Z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