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Julgado em: </w:t>
      </w:r>
      <w:r>
        <w:t xml:space="preserve">26/03/1985</w:t>
      </w:r>
    </w:p>
    <w:p/>
    <w:p>
      <w:r>
        <w:t xml:space="preserve">QUANDO SE ENTENDE ESTE JÁ INCLUÍDO NA REPARAÇÃO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verdade que no sistema pátrio, nada impede a cumulação da reparação de dano moral com a indenização do dano material. A doutrina e os tribunais vêm se desenvolvendo no sentido de autorizar a cumulação do ressarcimento. No caso de que se trata, tanto o juiz como o tribunal entenderam de cumular as duas reparações. Apenas entenderam que já estariam a segunda (a do dano moral) compreendida na primeira (a do dano material). - No entanto, o voto divergente entende que, se abalo houve no crédito dos embargos em consequência do protesto dos títulos indevidos, a reparação do art. 1.531 do CC (pagamento em dobro da importância cobrada) não basta. Um salário mínimo a mais seria o razoável para cobrir a outra indenização. - A tese não pode prosperar. Vê-se que a sentença condenou a vencida inclusive a publicar declaração no sentido de limpar a imagem creditícia dos vencedores ora embargantes. E não lhes deferiu a indenização do dano moral, em separado, por entendê-la absorvida pela indenização material. O v. acórdão embargado assim a confirmou. E fê-lo acertadamente. No caso, o art. 153 do CC representa uma punição ao comportamento desastrado da embargada, que, além disso, também ficou condenada a esclarecer publicamente o seu erro. Isto basta. A reparação menor está contida na maior. - Daí, rejeitarem-se os embargos, por maioria. Julgado em 27-03-1985 VENCIDO O DESEMBARGADOR GRACCHO AURÉLIO Arquivo do EMFOR, TJ/1.375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sentença, além de condenar a vencida no pagamento em dobro da quantia indevidamente reclamada, ainda obrigou-a a fazer declaração pública de seu erro para estabelecer a imagem creditícia dos vencedores, tem-se por incluída na reparação do dano material a indenização do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2026-10-26T04:12:56.185Z</dcterms:created>
  <dcterms:modified xsi:type="dcterms:W3CDTF">2026-10-26T04:12:56.185Z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