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TERCEIRO</w:t>
      </w:r>
    </w:p>
    <w:p>
      <w:r>
        <w:rPr>
          <w:i/>
          <w:iCs/>
          <w:color w:val="666666"/>
        </w:rPr>
        <w:t xml:space="preserve">INCORPORAÇÃO DE BEM À SOCIEDADE</w:t>
      </w:r>
    </w:p>
    <w:p/>
    <w:p>
      <w:r>
        <w:rPr>
          <w:b/>
          <w:bCs/>
        </w:rPr>
        <w:t xml:space="preserve">Julgado em: </w:t>
      </w:r>
      <w:r>
        <w:t xml:space="preserve">12/03/1985</w:t>
      </w:r>
    </w:p>
    <w:p/>
    <w:p>
      <w:r>
        <w:t xml:space="preserve">PRISÃO E CUMPRIMENTO DE PENA — AÇÃO PROCEDENTE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Ora, existente o dano à pessoa, real e não presumido, em decorrência da ação e da omissão de agentes do poder público, no exercício das suas funções, a consequência inelutável é a responsabilidade objetiva do ESTADO, por força do disposto no art. 107 da Constituição Federal, e art. 15 do Código Civil Brasileiro. - A indenização só não seria devida, nos termos do § 2º do art. 630, do Código de Processo Penal, a) se o erro ou a injustiça da condenação proceder de ato ou falta imputável ao próprio impetrante da revisão criminal, como a confissão ou a ocultação de prova em que o ora embargado negou a autoria do delito; b) se a ação houver sido meramente privada de crime de ação pública, como salientado, aliás, no douto voto vencido. - Isto posto, rejeitam-se os embargos. Julgado em 13-03-1985 Arquivo do EMFOR, TJ/1.376 EMFOR 443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Constitui dano real e não presumido, a coarctação da liberdade do indivíduo, em virtude de prisão e cumprimento de pena, motivados por ato da autoridade policial que o qualificou indiretamente em lugar do verdadeiro autor do delito, e omissão da Defensoria Pública, que providência alguma tomou em sua defesa, quando ele negou a autoria, no interrogatório que se seguiu à prisão.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2026-10-26T02:20:26.043Z</dcterms:created>
  <dcterms:modified xsi:type="dcterms:W3CDTF">2026-10-26T02:20:26.043Z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