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DECRETO 3.571 DE 21-08-2000</w:t>
      </w:r>
    </w:p>
    <w:p/>
    <w:p>
      <w:r>
        <w:rPr>
          <w:b/>
          <w:bCs/>
        </w:rPr>
        <w:t xml:space="preserve">Recurso: </w:t>
      </w:r>
      <w:r>
        <w:t xml:space="preserve">MS 22.022/</w:t>
      </w:r>
    </w:p>
    <w:p/>
    <w:p>
      <w:r>
        <w:t xml:space="preserve">REFORMA AGRÁRIA — MÉDIA PROPRIEDADE RURAL - ADMISSIBILIDADE - REQUISITOS - INTELIGÊNCIA DO ART. 185, I, DA CF C/C ART. 4º PAR. ÚNICO DA LEI 8.629/93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concernente à possibilidade de desapropriação de média propriedade rural, observo que esta Corte também já se pronunciou a respeito. A ementa do MS 22.022/ES (publicado no DJ de 04.11.1994) é clara ao afirmar que "para efeito de reforma agrária, a média propriedade rural, ainda que improdutiva, constitui bem objetivamente imune à ação expropriatória da União Federal, desde que o seu titular não possua outro imóvel rural (CF, art. 185, I, c/c Lei 8.629/93, art. 4º, par. ún.). Unititularidade dominial: condição não satisfeita pelos impetrantes". - Com efeito, muito embora a dimensão territorial da propriedade a caracterize como "média propriedade rural" nos termos definidos pela Lei 8.629/93, art. 4º, a, não logrou o impetrante demonstrar preencher o requisito autorizador da imunidade do imóvel rural à ação expropriatória - o de não possuir outro imóvel (CF, art. 185, I, c/c Lei 8.629/93, art. 4º, par. ún.). - A leitura atenta do documento acostado de f., declaração prestada à Secretaria da Receita Federal, relativa ao Imposto sobre a Propriedade Territorial Rural - ITR, relativa ao ano de 1994 - revela que o impetrante é possuidor de 3 (três) imóveis rurais, com área total de 839,7 ha, sendo certo que apenas 1 (um) deles situa-se no Município de Londrina, Paraná. - Diante do exposto, acolhendo a manifestação do MP Federal, conheço do pedido, mas indefiro a ordem impetrada, assegurando ao impetrante a utilização das vias ordinárias para reclamar o seu direito, se a tanto o desejar. Ac. de 30-06-1997 DJ de 26-09-1997 Revista dos Tribunais, Fevereir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suscetível de desapropriação por interesse social para fins de reforma agrária a média propriedade rural se o proprietário não preencher um dos requisitos autorizadores da imunidade do imóvel à ação expropriatória, qual seja, a unititularidade dominial, prevista no art. 185, I, da CF c/c art. 4º, par. ún., da Lei 8.629/93.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2026-06-17T15:19:54.783Z</dcterms:created>
  <dcterms:modified xsi:type="dcterms:W3CDTF">2026-06-17T15:19:54.783Z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