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>
      <w:r>
        <w:rPr>
          <w:b/>
          <w:bCs/>
        </w:rPr>
        <w:t xml:space="preserve">Recurso: </w:t>
      </w:r>
      <w:r>
        <w:t xml:space="preserve">RE 162.350/</w:t>
      </w:r>
    </w:p>
    <w:p/>
    <w:p>
      <w:r>
        <w:t xml:space="preserve">SUCESSÃO ANTERIOR À CONSTITUIÇÃO — INAPLICABILIDADE DO ART. 227, § 6º DO CF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ilustrado parecer da douta Procuradoria-Geral da República aferiu, com percuciência, a questão jurídica em que se acha centrado o recurso, verbis (f.): "Como bem explicitado pelo ilustre representante do MP, em manifestação às f., `abertas as sucessões antes da vigência da Carta Magna de 1988, o domínio e a posse dos direitos e obrigações já haviam se transmitido aos herdeiros legítimos do de cujus, por força do estatuído no art. 1.572 do CC. E tendo se consolidado tais direitos no patrimônio destes, de acordo com a lei vigente na época, não era mais possível a sua transmissão às recorrentes. ......................................................... E o que pretendem as recorrentes, através do apelo extremo, nada mais é do que conferir efeito retroativo à norma constitucional acima mencionada, o que não lhes é permitido, uma vez que o direito constitucional não detém a característica da retroatividade'. Vale trazer à colação manifestação desse Excelso Pretório, verbis: `Rege-se, a capacidade de suceder, pela lei da época da abertura da sucessão, não comportando, assim eficácia retroativa, o disposto no art. 227, § 6.o, da Constituição' (RE 162.350/SP, relator Min. Octavio Gallotti, unânime, RTJ 156/1.050). Destacamos, ainda, trecho do voto proferido pelo Exmo. Sr. Min. Relator Octavio Gallotti: `É princípio assente, em nosso direito positivo, que a capacidade de suceder se regula pela lei do tempo da abertura da sucessão, porque é nesse momento que se transfere a propriedade. A pretensão do recorrente implicaria, portanto, o reconhecimento de inadmissível efeito retroativo da disposição constitucional invocada. Não apenas de sua incidência imediata'". - Trata-se de parecer que interpretou com exatidão os fatos da causa, à luz da norma do art. 227, § 6º, da Constituição. - No que concerne ao princípio da isonomia, é de ver-se que a norma do CC (art. 1.605, caput, c/c § 2º), ao distinguir entre filhos legítimos e filhos adotivos, para fim de sucessão, levou em conta a situação de desigualdade que havia entre uns e outros, não ofendendo, assim, o mencionado princípio. - O acórdão recorrido, estando em consonância com a orientação nele expressa, não merece reparo. - Meu voto, portanto, não conhece do recurso. Ac. de 05-08-1997 DJ de 31-10-1997 Revista dos Tribunais, Fevereiro de 1998, vol 748 - pág. 158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sucessão regula-se por lei vigente à data de sua abertura, não se aplicando a sucessões verificadas antes do seu advento a norma do art. 227, § 6º, da Carta de 1988, que eliminou a distinção, até então estabelecida pelo Código Civil (art. 1.605 e § 2º), entre filhos legítimos e filhos adotivos, para esse efeito. Discriminação que, de resto, se assentava em situações desiguais, não afetando, portanto, o princípio da isonomia.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2026-10-26T03:43:24.557Z</dcterms:created>
  <dcterms:modified xsi:type="dcterms:W3CDTF">2026-10-26T03:43:24.557Z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