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CARTÓRIO DE REGISTROS PÚBLICOS</w:t>
      </w:r>
    </w:p>
    <w:p>
      <w:r>
        <w:rPr>
          <w:i/>
          <w:iCs/>
          <w:color w:val="666666"/>
        </w:rPr>
        <w:t xml:space="preserve">PERSONALIDADE JURÍDICA</w:t>
      </w:r>
    </w:p>
    <w:p/>
    <w:p/>
    <w:p>
      <w:r>
        <w:t xml:space="preserve">NEGLIGÊNCIA E USO ANORMAL DO PRÉDIO — CARACTERIZAÇÃO - VERBA INDEVIDA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em síntese, reiteram a alegação de que o imóvel foi recebido em péssimas condições, sendo certo que, a seu ver, a prova disso é feita através dos depoimentos das várias testemunhas ouvidas em audiência, dos quais reproduzem os trechos que entendem mais elucidativos. - Alegam, de igual modo, que restou provado não ter sido o inquilino quem deu causa aos problemas detectados, quando é certo, ademais, que não foi feita vistoria no imóvel ao início da locação. No entanto, prosseguem, o inquilino cumpriu sua obrigação de, ao ocupar o bem, reformá-lo e restaurá-lo por completo, conforme informaram aludidas testemunhas. - Afirmam ainda que, não fosse a construção do prédio vizinho, por certo o imóvel teria sido devolvido ao apelado sem nenhum estrago, exceto aqueles relativos ao desgaste natural pelo uso normal do bem durante cerca de oito anos. - Alegam, também, que é "princípio elementar" o de que, em se tratando de locação predial, a falta de vistoria do imóvel, no início da relação ex locato, traz a presunção de que o prédio foi entregue em perfeitas condições. Por outro lado, o recebimento do imóvel pelo locador, sem vistoria ou qualquer ressalva, faz presumir o mesmo, isto é, a devolução do bem em perfeito estado. - Ponderam, nessa ordem de idéias, que a vistoria judicial foi realizada um ano após a entrega das chaves, mostrando-se, por isso, imprestável o laudo anexado aos autos. Ademais, na sua concepção, esse trabalho não traduz a realidade dos fatos, além de não ter o perito interpretado corretament e a cláusula 23 do pacto locatício. - Pugnam, assim, pela reforma da r. sentença recorrida para o fim de julgar improcedente o pedido deduzido na exordial, invertendo-se os ônus da sucumbência e condenado-se o autor por litigância de má-fé (CPC, arts. 16 e 17). - Recurso tempestivo, formalmente em ordem e regularmente processado. Preparo a f. e contra-razões a f. II - FUNDAMENTAÇÃO - De início, deve ser ressaltado que a questão relativa à denunciação da lide à empresa J. A. Construções Ltda. foi apreciada pela r. decisão saneadora de f. - que afastou o chamamento, porquanto "ininquadrável em qualquer das hipóteses previstas no art. 70 do CPC, nem feito pedido expresso, como determina o art. 71, parte final" -, sendo certo que o agravo de instrumento interposto contra referida decisão (f.) não teve prosseguimento porque, intimado o agravante a indicar peças, deixou transcorrer in albis o prazo (f.). - Trata-se, portanto, de matéria preclusa, sobre a qual não cabe, a esta altura, qualquer consideração. - No mérito, a inconformidade não procede. - Com efeito. Cabe ao locatário restituir o prédio, finda a locação, no estado em que o recebeu, salvo as deteriorações decorrentes do tempo e do uso normal. Se, ao entregar o prédio, não o fizer no estado em que o recebeu, ficará sujeito à indenização das perdas e danos, abrangentes do que se despender para reparar o imóvel (cf. JOSÉ DA SILVA PACHECO, Tratado das locações, ações de despejo e outras. 8. ed. São Paulo : Ed. RT, 1993. p. 322). - No caso, depois de vistoriar o imóvel, "aceitando-o nas condições descritas no Auto de Vistoria assinado pelas partes", comprometeu-se o locatário-afiançado a conservá-lo no estado em que o recebera (cláusula 7ª do instrumento de f.), obrigando-se expressamente, ademais, pelas "obras necessárias a boa condição de higiene, limpeza, perfeito estado de conservação de todas as instalações, pertences, aparelhos, ac essórios hidráulicos e elétricos, encanamentos e eletricidade, revestimentos, pinturas, tetos e telhados" (f.). - Como se vê, os termos da referida disposição contratual são de clareza solar, exigindo apenas interpretação gramatical para o entendimento de seu conteúdo. - Cabe salientar, nessa ordem de idéias, que o locatário conhecia as condições do imóvel locado, tanto que se obrigou a proceder à "pintura (geral) interna e externa; reparar parte hidráulica e elétrica; revisar telhados; executar serviços ou reparos de calhas, rufos, marcenaria, serralheria e de pedreiro em geral; e tudo mais que se fizer necessário para que o imóvel esteja em condições de habitabilidade. Esses serviços ficarão a cargo do locatário, devido acordo com o locador que em compensação reduziu o valor locativo mensal" (cláusula 23 - f.). - Há nos autos, de fato, prova robusta no sentido de que o inquilino, antes de ingressar no imóvel, procedeu à sua reforma, nos termos da aludida disposição contratual (v. f.; depoimentos testemunhais de f.). - 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no início da locação o locatário se comprometeu a reformar o prédio e a conservá-lo nesse estado para assim devolvê-lo ao término da locação, demonstrados os gravames imputáveis à sua negligência e ao uso anormal do prédio, não provenientes da ação do tempo ou do uso normal da coisa, inegável sua obrigação de indenizar reparando os danos causados ao imóvel.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2026-09-10T23:19:00.654Z</dcterms:created>
  <dcterms:modified xsi:type="dcterms:W3CDTF">2026-09-10T23:19:00.654Z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