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Recurso: </w:t>
      </w:r>
      <w:r>
        <w:t xml:space="preserve">Ap 58.315/3</w:t>
      </w:r>
    </w:p>
    <w:p/>
    <w:p>
      <w:r>
        <w:t xml:space="preserve">AÇÃO CIVIL PÚBLICA —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que ora é colocada em exame já foi objeto de apreciação desta Câmara em hipóteses semelhantes, merecendo, nas diversas ocasiões, enfoques diferenciados, pendendo a análise ora para o aspecto da ilegitimidade ativa ad causam do MP, ora para a impropriedade da via eleita, ou, concomitantemente, ambos os aspectos, mesmo diante de flagrante inconstitucionalidade da exigência tributária. - Após detida reflexão sobre o tema, concluímos por emprestar nossa adesão ao entendimento de que, centrando-se a celeuma da espécie na argüição da inconstitucionalidade da lei municipal instituidora da cobrança da taxa de iluminação pública, forçosa é a conclusão no sentido de que se há de examinar, inicialmente, a propriedade da via eleita e a legitimidade ativa do proponente. - A ação civil pública há de ser intentada estritamente nas hipóteses legalmente previstas, dentre as quais não se divisa a de argüição de inconstitucionalidade de lei municipal, para a qual a CF/88 prevê a via própria que é a ação direta de inconstitucionalidade. - Desta forma, tem-se como impróprio o manejo da ação civil pública como sucedâneo da ação direta de inconstitucionalidade. - No mesmo sentido, esta Câmara, quando do julgamento da Ap 58.315/3, de que foi relator o Des. Fernandes Filho, em decisão unânime, considerou ser "impossível a pretensão, através da ação civil pública, inadequada para fazer cessar os efeitos de lei municipal, matéria restrita à ação direta de inconstitucionalidade". - Mesmo que se tentasse valer do argumento de que o rótulo das ações judiciais não poderia servir de entrave à pretensão das partes, não se deixaria de esbarrar na evidente impossibilidade jurídica do manejo, obstaculado por determinação constitucional, a acarretar-lhe a carência de ação. - Ainda que assim não fosse, a se admitir a argüição de inconstitucionalidade de lei, via ação civil pública, estar-se-ia a permitir fosse o instrumento processual travestido de ação direta de inconstitucionalidade, o que de pronto se repudia. Ac. de 29-04-1997 DOMG de 14-10-1997 Revista dos Tribunais, Fevereiro de 1998, vol 748 - pág. 368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civil pública há de ser intentada estritamente nas hipóteses legalmente previstas, dentre as quais não se divisa a de argüição de inconstitucionalidade de lei municipal, para a qual a CF/88 prevê a via própria, que é a ação direta de inconstitucionalidade, tendo-se como impróprio o manejo da ação civil pública como sucedânea da ação direta de inconstitucionalidade.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2026-09-10T23:16:55.676Z</dcterms:created>
  <dcterms:modified xsi:type="dcterms:W3CDTF">2026-09-10T23:16:55.676Z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