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NACIONAL DO PETRÓLEO</w:t>
      </w:r>
    </w:p>
    <w:p>
      <w:r>
        <w:rPr>
          <w:i/>
          <w:iCs/>
          <w:color w:val="666666"/>
        </w:rPr>
        <w:t xml:space="preserve">HORÁRIO PARA VENDA DE COMBUSTÍVEIS</w:t>
      </w:r>
    </w:p>
    <w:p/>
    <w:p>
      <w:r>
        <w:rPr>
          <w:b/>
          <w:bCs/>
        </w:rPr>
        <w:t xml:space="preserve">Recurso: </w:t>
      </w:r>
      <w:r>
        <w:t xml:space="preserve">Resp 2.405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TÍTULO A ESTE VINCULADO — SOLIDARIEDADE DO AVALISTA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AVALISTA DO TÍTULO DE CRÉDITO VINCULADO A CONTRATO DE MÚTUO TAMBÉM RESPONDE PELAS OBRIGAÇÕES PACTUADAS, QUANDO NO CONTRATO FIGURAR COMO DEVEDOR SOLIDÁRIO. Referência: CC, arts. 896 e 904. Resp. 2.405 - RS (3ª T. 22-05-90 - DJ 11-06-90). Resp. 3.257 - RS (3ª T. 29-06-90 - DJ 11-06-90). Arquivo do EMFOR, STJ/475.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2026-10-26T03:21:02.650Z</dcterms:created>
  <dcterms:modified xsi:type="dcterms:W3CDTF">2026-10-26T03:21:02.650Z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