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100.822</w:t>
      </w:r>
    </w:p>
    <w:p/>
    <w:p>
      <w:r>
        <w:t xml:space="preserve">QUANDO DELA NÃO SE PODE VALER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título hábil e, como todo devedor cambial, o avalista poderá se defender exclusivamente com as exceções pessoais que lhe forem próprias, de nada lhe valendo aquelas que o avalizado pudesse opor ao exequente. - É a lição de JOÃO EUNÁPIO BORGES, em seu livro Títulos de Crédito, página 93, 2ª edição Forense de 1983, repetindo MAGARINO TORRES, que explica se tratar do princípio da autonomia e independência das obrigações cambiais, sendo que o avalista, quando acionado, não se defende com as exceções peculiares ao avalizado: &lt;&lt;O avalista não se confunde com o seu avalizado, sendo embora a sua obrigação da mesma natureza da deste; e pois não pode sofrer, ou se valer contra outrem, de exceção pessoal de seu avalizado, nem alegar senão direito próprio.&gt;&gt; (Nota Promissória, páginas 241/242, 5ª edição Saraiva de 1943, anotação nº 132). - Neste sentido já decidiu esta Câmara nas Apelações Cíveis ns. 29.189, 30.616, 27-08-1985, 24-09-1985 e 05-11-1985, seguindo a orientação do Supremo Tribunal Federal no RE nº 100.822 - SP, 109/432 e no RE nº105.362-3 - SP, in DJU de 09-05-86, pág. 7.629. - Com relação à multa contratual, aplicável é a Súmula nº 616 (*) do Supremo Tribunal Federal. Ac. de 05-05-1987 Arquivo do EMFOR, TA/817 (*)&lt;&lt;É permitida a cumulação da multa contratual com os honorários de advogado, após o advento do Código de Processo Civil vigente.&gt;&gt; (&lt;&lt;EMENTÁRIO FORENSE&gt;&gt;, Nº 434)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autonomia do aval, não pode o avalista se valer das exceções pessoais do avalizado, devendo sua defesa se cingir às exceções que lhe são próprias.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2026-10-26T03:20:18.570Z</dcterms:created>
  <dcterms:modified xsi:type="dcterms:W3CDTF">2026-10-26T03:20:18.570Z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