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A MAGISTRADO</w:t>
      </w:r>
    </w:p>
    <w:p/>
    <w:p>
      <w:r>
        <w:rPr>
          <w:b/>
          <w:bCs/>
        </w:rPr>
        <w:t xml:space="preserve">Recurso: </w:t>
      </w:r>
      <w:r>
        <w:t xml:space="preserve">Ap 508.157/6</w:t>
      </w:r>
    </w:p>
    <w:p/>
    <w:p>
      <w:r>
        <w:t xml:space="preserve">AÇÃO REVISIONAL DE ALUGUEL — QUANDO AMBAS AS PARTES DEVEM RESPONDER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laudo pericial oficial de f., que em essência serviu de base para r. sentença, teve a concordância expressa da autora (f.) e não foi, efetivamente, enfrentado pela ré que, sem causar-lhe qualquer abalo, apenas pretende melhor o de seu próprio assistente. - Do cotejo entre os diversos trabalhos que mostram na realidade poucas divergências, não se permite concluir pela inferioridade daquele laudo oficial. Ao contrário, é perfeitamente aceitável, completo. - Não procede, por seu turno, a crítica da ré, ao entender desprezíveis as acessões e benfeitorias como integrantes do cálculo do valor do locativo, nem a observação sobre o aproveitamento do terreno. Neste particular, é de observar-se que não se acompanha a r. decisão, quando afirmou-se que o perito oficial não teria considerado todos os elementos, 1 valorizadores e desvalorizadores, em especial (é o que se pode concluir) a "quota correspondente ao mau aproveitamento do terreno". - Se é nesse sentido, realmente, a afirmação é de ver-se que o locatário não utiliza toda a área do terreno, porque tem necessidade de preservar áreas livres para recreação de alunos, como exigência do MEC, isto não será, absolutamente, fator de desvalorização como seu perito assistente pretendeu. - É válida, pois, a posição contrária, do perito oficial, que corretamente não considerou esta particularidade (item c do laudo). - Quanto à discussão sobre benfeitorias, vem tardiamente. O laudo divergente só foi di vergente quanto àquela questão de aproveitamento do espaço, não falou em benfeitorias que agora se deseja discutir. - Desta forma, acolhe-se o laudo oficial, em sua totalidade, aceitando-se como definitivo o valor locativo a que chegou, de R$ 2.440,00. - Por outro lado, quanto à condenação pela sucumbência, procedem parcialmente os apelos do autor e da ré: as partes permaneceram eqüidistantes do resultado final, como se observa pelos valores ofertados e exigidos pelo locatário e pelo locador, respectivamente. - Revelando as partes, assim, igual e proporcional resistência ao processo, que visava simplesmente o justo valor dos alugueres, o autor pela exigência de maior remuneração, estabelecendo pretensão inatingível, o locatário com oferta insuficiente, portanto inaceitável, devem ambos responder pela sucumbência. - Este o entendimento desta douta 10.ª Câm. no julgamento da Ap 508.157/6, relatada por este Juiz: "Permanecendo as partes eqüidistantes do valor dos alugueres estabelecidos na sentença, o locador pela exigência de maior remuneração, estabelecendo teto inatingível, e o locatário pela insuficiência da oferta, inaceitável, revelam-se ambas responsáveis, dada a resistência igualmente oposta, pela sucumbência." - A respeito do tema já decidiu este Tribunal, na C. 7.ª Câm., em processo relatado pelo ilustre Juiz Luiz Henrique que: "A ação revisional visa apenas a obtenção do preço de mercado do valor do locativo na data da citação, por isso que, conquanto possa ser tida como demanda de mero acertamento, a imposição dos ônus sucumbenciais resolve-se pelo princípio da causalidade: compara-se a pretensão do locador e a resistência do locatário com o resultado final, com o que se verifica qual das partes foi responsável pela incoação ou mesmo pelo prosseguimento da ação, extraindo-se então a responsabilidade de uma delas ou de ambas, se em igual ou distinta proporção." - No mesmo sentido o decidido no Processo 389.833, 2.ª Câm. relator o ilustre Juiz Batista Lopes: "Na ação revisional em que nenhuma das partes logra ver acolhida a sua posição, impõe-se a conclusão de que ambas devem suportar os ônus de sucumbência." - E, ainda, no mesmo sentido as decisões publicadas nas RT 656/143, 667/128 e 689/187, todas originadas neste Tribunal: "Locação - Revisional de aluguel - Sucumbência - Condenação do réu na verba honorária - Inadmissibilidade - Hipótese em que não se opôs ao direito do autor, ficando caracterizado mero ajuste do valor locativo - Repartição da verba sucumbencial determinada - Voto vencido". "Locação - Revisional de aluguel - Sucumbência - Ação de mero acertamento de aluguel, na qual não há nem vencido nem vencedor - Verba sucumbencial que deve ser dividida igualmente entre as partes". "Locação - Revisional de aluguel - Sucumbência - Inocorrência - Hipótese de mero acertamento do aluguel, inexistindo resistência por parte do locatário - Custas rateadas entre as partes". - Nestas condições, impõe-se a repartição, entre as partes, dos ônus da sucumbência. - Pelo exposto, 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revisional de aluguel, se ambas as partes revelarem igual e proporcional resistência ao processo que visa simplesmente o justo valor dos alugueres, o locador pela exigência de maior remuneração, estabelecendo pretensão inatingível, e o locatário com oferta insuficiente, e portanto inaceitável, ambos, devem responder pela sucumbência, pelo fato de permanecerem eqüidistantes do valor locativo estabelecido na sentença.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2026-07-28T02:33:35.017Z</dcterms:created>
  <dcterms:modified xsi:type="dcterms:W3CDTF">2026-07-28T02:33:35.017Z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