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/>
    <w:p>
      <w:r>
        <w:t xml:space="preserve">VÍCIO NA PARTE COMUM DO PRÉDIO — ILEGITIMIDADE "AD CAUSAM" DO COMPRADOR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 - Passando ao recurso do autor, insiste em obter indenização em virtude de irregularidades nas partes comuns e nos serviços do edifício, que levaram à desvalorização do preço de seu apartamento, pedido negado na instância de origem por ausência de legitimidade ativa. - Quanto ao primeiro aspecto, efetivamente lhe falta legitimidade, devendo a iniciativa de demandar a vendedora do prédio partir do condomínio e não isoladamente dos condôminos. Ac. de 05-11-1998 DJDF de 16-06-1999 Revista dos Tribunais, Novembro de 1999, vol 769 - pág. 312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comprador é parte ilegítima para cobrar indenização por vícios na parte comum do prédio, devendo fazê-lo o condomínio em relação à vendedora.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2026-07-28T00:08:10.951Z</dcterms:created>
  <dcterms:modified xsi:type="dcterms:W3CDTF">2026-07-28T00:08:10.951Z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