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/>
    <w:p>
      <w:r>
        <w:t xml:space="preserve">PROVA DE QUE FOI EM DECORRÊNCIA DAS IRREGULARIDADES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 - No tocante à indenização por desvalorização do imóvel, duas considerações devem ser feitas. Primeiro, que não foram apuradas na perícia judicial (f.); segundo, não foram devidamente descritas na inicial que, a propósito, é genérica. - No que concerne ao valor de indenização, a cláusula 3.ª do instrumento particular de promessa de compra e venda e outras avenças que precedeu a lavratura da escritura definitiva não deixa dúvida em consignar o preço do imóvel em CR$ 171.414.254,10, aí incluídos o sinal, a poupança e o saldo devedor. Este foi o valor considerado na r. sentença que, assim, deve prevalecer. - Por derradeiro, o autor fez cinco pedidos. Decaiu de um. Vencido em parte, os ônus da sucumbência devem ser distribuídos proporcionalmente (art. 21 do CPC). Também neste particular improcede o inconformismo. - Isto posto, nego provimento a ambos os recursos. Ac. de 05-11-1998 DJDF de 16-06-1999 Revista dos Tribunais, Novembro de 1999, vol 769 - pág. 312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provada a desvalorização do preço do prédio em decorrência das irregularidades verificadas nas unidades imobiliárias, rejeita-se o pedido de indenização formulado a este propósito.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2026-10-26T02:58:36.460Z</dcterms:created>
  <dcterms:modified xsi:type="dcterms:W3CDTF">2026-10-26T02:58:36.460Z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