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ESTIPULANTE DE SEGURO EM GRUPO</w:t>
      </w:r>
    </w:p>
    <w:p/>
    <w:p/>
    <w:p>
      <w:r>
        <w:t xml:space="preserve">PROVA DE QUE FOI EM DECORRÊNCIA DAS IRREGULARIDADES — REQUISITO INDISPENSÁVEL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................................................................ - No tocante à indenização por desvalorização do imóvel, duas considerações devem ser feitas. Primeiro, que não foram apuradas na perícia judicial (f.); segundo, não foram devidamente descritas na inicial que, a propósito, é genérica. - No que concerne ao valor de indenização, a cláusula 3.ª do instrumento particular de promessa de compra e venda e outras avenças que precedeu a lavratura da escritura definitiva não deixa dúvida em consignar o preço do imóvel em CR$ 171.414.254,10, aí incluídos o sinal, a poupança e o saldo devedor. Este foi o valor considerado na r. sentença que, assim, deve prevalecer. - Por derradeiro, o autor fez cinco pedidos. Decaiu de um. Vencido em parte, os ônus da sucumbência devem ser distribuídos proporcionalmente (art. 21 do CPC). Também neste particular improcede o inconformismo. - Isto posto, nego provimento a ambos os recursos. Ac. de 05-11-1998 DJDF de 16-06-1999 Revista dos Tribunais, Novembro de 1999, vol 769 - pág. 312 EMFOR 624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provada a desvalorização do preço do prédio em decorrência das irregularidades verificadas nas unidades imobiliárias, rejeita-se o pedido de indenização formulado a este propósito.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2026-07-27T23:33:29.880Z</dcterms:created>
  <dcterms:modified xsi:type="dcterms:W3CDTF">2026-07-27T23:33:29.880Z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