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Apelação Cível 32.383</w:t>
      </w:r>
    </w:p>
    <w:p>
      <w:r>
        <w:rPr>
          <w:b/>
          <w:bCs/>
        </w:rPr>
        <w:t xml:space="preserve">Julgado em: </w:t>
      </w:r>
      <w:r>
        <w:t xml:space="preserve">26/12/1984</w:t>
      </w:r>
    </w:p>
    <w:p/>
    <w:p>
      <w:r>
        <w:t xml:space="preserve">LEVANTAMENTO PARCIAL — QUANDO É AUTORIZADO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suas razões, sustenta o nobre representante do Ministério Público que a correção apenas atualiza o capital gravado, preservando o gravame testamentário, que não pode ser invalidado ou dispensado por atos judiciais. - Assim colocada a questão, impõe-se reconhecer que, em tese a posição do digno Curador apresenta-se incensurável. - O caso, porém, apresenta aspectos peculiares que, como bem ressaltou o ínclito prolator do despacho agravado, têm grande importância na apreciação do pedido. - A agravada é uma senhora de idade avançada, quase octogenária, e que mora só. - Como é curial, a par das necessidades básicas de toda pessoa, a recorrida carece, em virtude da idade, de cuidados especiais para manutenção da saúde acrescendo ponderar que são ínfimos os seus rendimentos. - .................................................................................................. - De assinalar-se, em prol do pedido, que os dois filhos da requerente e únicos beneficiários do gravame concordaram expressamente, com o levantamento, e declararam que renunciavam a qualquer direito do depósito ... - Em tais casos, tem-se entendido - e esta Câmara assim já decidiu (Apelação Cível nº 32.383) - que em face de certas circunstâncias, deve-se permitir o levantamento ( total ou parcial) da importância referente à correção monetária. - Tal solução, como acontece na espécie em causa, se apresenta muito mais condizente com a vontade do testador o os ditames da lei, do que a proibição pura e simples do levantamento. - Não se deve perder de vista que a finalidade da regra jurídica que autorizou o gravame é o benefício do gravado e, por isso mesmo, não se pode conceber que ela f osse aplicada em seu prejuízo, impedindo-se que a vantagem da atualização do capital pudesse, em parte, reverter em seu proveito, amenizando as dificuldades em que se encontra e suprindo, em parte, as suas necessidades primárias. - Confirmado o despacho agravado. Julgado em 27-12-1984 Arquivo do Ementário Forense, TJ/1.352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de circunstâncias peculiares do caso, pode o Juiz, a fim de suprir necessidades prementes do proprietário, autorizar o levantamento de parte do valor corrigido.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2026-07-28T01:44:23.164Z</dcterms:created>
  <dcterms:modified xsi:type="dcterms:W3CDTF">2026-07-28T01:44:23.164Z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