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03/12/1984</w:t>
      </w:r>
    </w:p>
    <w:p/>
    <w:p>
      <w:r>
        <w:t xml:space="preserve">NULIDADE DE DECRETO EXPROPRIATÓRIO DE PREFEITO MUNICIPAL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desapropriação por interesse social, prevista na citada lei, tem como objetivo promover a desapropriação da propriedade territorial rural e só poderá ser efetuada pela União Federal (art. 161, § 2º da Constituição Federal e art. 1º, § 2º da Lei 4.132/62). Apesar do decreto desapropriatório nº 1693 (...) declarar, na "ementa", que a área é de utilidade pública, baseia a expropriação na citada lei nº 4.132/1962 e, nos seus artigos 1º e 2º, afirma o «interesse social» da desapropriação. - Nessas condições, falece ao Prefeito competência para decretar a desapropriação por interesse social. No entanto, feita a declaração, não pode prevalecer, pelos motivos expostos acima. Por esses fundamentos e não os douta sentença, "data venia", nega-se atendimento ao recurso... . Julgado em 04-12-1984 Arquivo do Ementário Forense, TJ/1.360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por interesse social só pode ser promovida pela União Federal, sendo nulo o decreto expropriatório efetuado por Prefeito Municipal, sob os auspícios da Lei nº 4.132/62.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2026-07-28T01:45:26.053Z</dcterms:created>
  <dcterms:modified xsi:type="dcterms:W3CDTF">2026-07-28T01:45:26.053Z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