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Recurso: </w:t>
      </w:r>
      <w:r>
        <w:t xml:space="preserve">RE 97.191</w:t>
      </w:r>
    </w:p>
    <w:p>
      <w:r>
        <w:rPr>
          <w:b/>
          <w:bCs/>
        </w:rPr>
        <w:t xml:space="preserve">Relator: </w:t>
      </w:r>
      <w:r>
        <w:t xml:space="preserve">BARBOSA MOREIRA</w:t>
      </w:r>
    </w:p>
    <w:p>
      <w:r>
        <w:rPr>
          <w:b/>
          <w:bCs/>
        </w:rPr>
        <w:t xml:space="preserve">Julgado em: </w:t>
      </w:r>
      <w:r>
        <w:t xml:space="preserve">15/11/1984</w:t>
      </w:r>
    </w:p>
    <w:p/>
    <w:p>
      <w:r>
        <w:t xml:space="preserve">SE É INDISPENSÁVEL NA AÇÃO DIRETA DE DIVÓRCIO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recorrente vê como inconstitucional a interpretação dada na origem ao art. 40 da Lei do Divórcio, diante do art. 2º da Emenda Constitucional nº 9, de 1977, que dispõe: «A separação, poderá ser de fato, devidamente comprovada em juízo, pelo prazo de cinco anos, se for anterior á data da Emenda.» - O acórdão afirma que esta norma «não tem sentido unívoco podendo ser entendida tanto como se referindo à consumação quanto como ao início do prazo. Se a lei se afeiçoa a um desses sentidos, determinando-o e interpretando o texto maior, não há inconstitucionalidade, evidentemente.» ... No RE nº 97.191, relatado pelo Ministro NÉRI DA SILVEIRA, aponta-se, como requisito do chamado divórcio direto, a separação de fato, por mais de cinco anos, com início anterior a 26-6-77, data da referida Emenda. A decisão de origem, seguindo essa orientação, deu exato cumprimento ao artigo 40 da Lei do divórcio, que não é destoante, como aqui se pretende, do artigo 2º da Emenda nº 9. Com relação à infringência do artigo 31 da Lei nº 6.515/77, o Acórdão entendeu que a ação direta prescinde de prévia partilha de bens, pois independe de separação judicial anterior. Parte da doutrina abona esta tese, sustentando que, no divórcio direto, a partilha é remetida ao juízo da execução e, caso de desacordo, deverão ser observadas as disposições referentes ao inventário e à partilha, no que foram aplicáveis (YUSSEF SAID CAHALI, «Divórcio e Separação», 2ª ed., pág. 667. A leitura paralela dos artigos 31 e 40 da Lei do Divórcio permite verificar que o primeiro dispositivo exige prévia sentença definitiva de separação consensual ou de partilha, e o segundo, somente uma sit uação de fato pré-constituída, independentemente de sentença. O artigo 31 é por isso impertinente à hipótese do divórcio direto. Este também o entendimento que se adotou no citado RE nº 97.191. Quando menos, pois, o apelo extremo, neste ponto, encontra obstáculo na Súmula nº 400 (*). Julgado em 16-11-1984 Revista Trimestral de Jurisprudência. Maio, 1985- Vol.112- Pág. 848 (*) «Decisão que deu razoável interpretação à lei, ainda que não seja a melhor, não autoriza recurso extraordinário pela letra «a» do art. 101, III da Constituição Federal» («EMENTÁRIO FORENSE», nº 191, t. RECURSO EXTRAORDINÁRIO, st. OFENSA À LEI...) No mesmo sentido: Embargos nº 7.796, Tr. Just. Rio de Janeiro- 4º G.C., Relator: Desembargador BARBOSA MOREIRA, ac. de 02-03-1980, in «EMENTÁRIO FORENSE», º 382.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Constitui pressuposto do divórcio direto a separação, de fato, por cinco anos, com início anterior à vigência da Emenda Constitucional 9/77. - II - O artigo 31 da Lei do Divórcio, relativo à prévia partilha de bens, é impertinente à hipótese de divórcio direto.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2026-07-28T01:43:23.930Z</dcterms:created>
  <dcterms:modified xsi:type="dcterms:W3CDTF">2026-07-28T01:43:23.930Z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