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05/11/1984</w:t>
      </w:r>
    </w:p>
    <w:p/>
    <w:p>
      <w:r>
        <w:t xml:space="preserve">DECISÃO QUE A INDEFERE — CABIMENTO DE APELAÇÃO - QUANDO SE CONHECE DO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na sobrepartilha devem observar-se as mesmas regras aplicáveis ao inventário (Código de Processo civil, art. 1.041, caput). Portanto, embora corra nos mesmos autos deste, a sobrepartilha constitui processo distinto, e a decisão que a indefere classifica-se como sentença. Cabível, por conseguinte, seria a apelação (art. 513). - Mas também correta mostra-se a observação, feita no parecer, de que o recurso inadequadamente interposto pode, em princípio, ser conhecido como se fosse o próprio. Assim tem julgado inúmeras vezes esta E. Câmara. Não existindo erro grosseiro, conhece-se pois agravo como apelação. - Isso permite haver como superada a questão de tempestividade. Com efeito, o prazo começou com a segunda publicação, em 4-1-1984, já que da primeira não constara o nome do novo advogado da recorrente. Destarte, torna-se induvidoso que a interposição foi tempestiva, porque posterior de menos de quinze dias ao termo inicial. ... . Julgado em 06-11-1984 Arquivo do Ementário Forense, TJ/1.361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que indefere requerimento de sobrepartilha cabe apelação, mas pode-se conhecer como tal do agravo erroneamente interposto.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2026-07-28T02:41:05.235Z</dcterms:created>
  <dcterms:modified xsi:type="dcterms:W3CDTF">2026-07-28T02:41:05.235Z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