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05/11/1984</w:t>
      </w:r>
    </w:p>
    <w:p/>
    <w:p>
      <w:r>
        <w:t xml:space="preserve">DECISÃO QUE A INDEFERE — CABIMENTO DE APELAÇÃO - QUANDO SE CONHECE DO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na sobrepartilha devem observar-se as mesmas regras aplicáveis ao inventário (Código de Processo civil, art. 1.041, caput). Portanto, embora corra nos mesmos autos deste, a sobrepartilha constitui processo distinto, e a decisão que a indefere classifica-se como sentença. Cabível, por conseguinte, seria a apelação (art. 513). - Mas também correta mostra-se a observação, feita no parecer, de que o recurso inadequadamente interposto pode, em princípio, ser conhecido como se fosse o próprio. Assim tem julgado inúmeras vezes esta E. Câmara. Não existindo erro grosseiro, conhece-se pois agravo como apelação. - Isso permite haver como superada a questão de tempestividade. Com efeito, o prazo começou com a segunda publicação, em 4-1-1984, já que da primeira não constara o nome do novo advogado da recorrente. Destarte, torna-se induvidoso que a interposição foi tempestiva, porque posterior de menos de quinze dias ao termo inicial. ... . Julgado em 06-11-1984 Arquivo do Ementário Forense, TJ/1.361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que indefere requerimento de sobrepartilha cabe apelação, mas pode-se conhecer como tal do agravo erroneamente interposto.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2026-10-26T05:59:44.685Z</dcterms:created>
  <dcterms:modified xsi:type="dcterms:W3CDTF">2026-10-26T05:59:44.685Z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