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NACIONAL DO PETRÓLEO</w:t>
      </w:r>
    </w:p>
    <w:p>
      <w:r>
        <w:rPr>
          <w:i/>
          <w:iCs/>
          <w:color w:val="666666"/>
        </w:rPr>
        <w:t xml:space="preserve">HORÁRIO PARA VENDA DE COMBUSTÍVEIS</w:t>
      </w:r>
    </w:p>
    <w:p/>
    <w:p>
      <w:r>
        <w:rPr>
          <w:b/>
          <w:bCs/>
        </w:rPr>
        <w:t xml:space="preserve">Recurso: </w:t>
      </w:r>
      <w:r>
        <w:t xml:space="preserve">RE 89.942</w:t>
      </w:r>
    </w:p>
    <w:p/>
    <w:p>
      <w:r>
        <w:t xml:space="preserve">LEGISLAÇÃO A RESPEITO — COMPETÊNCIA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jurisprudência a respeito do tema desde há muito já está cristalizada no Supremo Tribunal Federal, que, através do Pleno, fixou o entendimento de que é "da competência da União, e não do Município, regular tanto o horário interno de trabalho, como o externo de atendimento público pelos bancos" (RE 89.942 - SP, in RTJ 89/335 e RE 91.505 - MS, in RTJ 92/924, ambos relatados pelo Min. DÉCIO MIRANDA, dentre muitos outros precedentes citados pelo impetrante e também a r. sentença). Ac. de 15-09-1988 Revista dos Tribunais - Outubro de 1988 - Vol. 636 - Pág. 84 EMENTÁRIO FORENSE. Janeiro, 1994. Ano XLVI. Nº 542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atividade bancária não pode ser restringida mesmo naquilo que respeite ao aparente interesse do Município, por se tratar de estabelecimentos estreitamente ligados à economia e segurança nacionais. Assim, compete à União, e não ao Município, regular tanto o horário interno de trabalho, como externo de atendimento ao público pelos bancos.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2026-10-26T02:31:28.291Z</dcterms:created>
  <dcterms:modified xsi:type="dcterms:W3CDTF">2026-10-26T02:31:28.291Z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