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Julgado em: </w:t>
      </w:r>
      <w:r>
        <w:t xml:space="preserve">21/05/1984</w:t>
      </w:r>
    </w:p>
    <w:p/>
    <w:p>
      <w:r>
        <w:t xml:space="preserve">INTERPOSIÇÃO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recorrente traz a confronto decisão desta Turma, no sentido de que o prazo de decadência só começa a fluir quando transcorre o prazo do agravo regimental contra despacho do relator que indefere agravo de instrumento interposto do despacho que inadmitiu o recurso extraordinário. Diz o acórdão paradigma: "De fato, não transitou em julgado o acórdão rescindendo, senão quando transcorrido o prazo do agravo regimental do despacho do relator, ..., que indeferiu o agravo de instrumento interposto tempestivamente". (RE n.º 87.420, rel. o Sr. Ministro Cordeiro Guerra, "in" RTJ n.º 84/686). - Não me parece configurada a divergência, pois no paradigma não se tratava de recurso extraordinário intempestivo. No caso "sub judice", como se viu, o recurso extraordinário não foi admitido por ser intempestivo. E do despacho de inadmissão não houve agravo. Conformou-se a parte recorrente com a afirmação de que decisão então recorrida transitou em julgado (09-06-80). Aliás já proclamou a egrégia Primeira Turma: "A contagem do prazo de decadência da ação rescisória começa a correr da data do trânsito em julgado da decisão originária; a interposição de recurso cabível, inclusive o extraordinário, salvo se indeferido por intempestivo, afasta o "dies a quo" da decadência." (RTJ n.º 104/1.265). - É oportuno realçar o que diz o procurador do estado, Dr. JOSÉ MAURÍCIO PENA, referindo-se à tese do recorrente: "Sua tese estaria certa se a inadmissão tivesse como base outro pressuposto que não o trânsito em julgado do venerando acórdão rescindendo e a consequente formação da coisa julgada em sentido formal. Assim não fosse e fácil seria a qualquer um impedir que uma decisão transitasse em julgado. Bastaria a interposição de um recurso fora do prazo, dias ou meses após a decisão que, repelido o recurso por sua extemporaneidade, estaria adiado o início da formação da coisa julgada formal." Assim, com propriedade, observou o eminente Desembargador FERNANDES FILHO, na assentada do julgamento dos embargos. ...: "se fosse contar o prazo decadencial como deseja o autor, o advogado transformaria o prazo da rescisória naquele que quisesse" (...). - Diante do exposto, não conheço do recurso. Julgado em 22-05-1984 Revista Trimestral de Jurisprudência. Novembro, 1984 - Vol.110 - Pág. 880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Interpretando o artigo 495 do Código de Processo Civil orientou-se no sentido de que o prazo de decadência deve ser contado a partir da data em que expirou o prazo para interposição do recurso extraordinário, quando inadmitido por despacho em razão de intempestividade, e do qual não se interpôs agravo de instrumento.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2026-10-26T03:43:06.170Z</dcterms:created>
  <dcterms:modified xsi:type="dcterms:W3CDTF">2026-10-26T03:43:06.170Z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