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27/09/1982</w:t>
      </w:r>
    </w:p>
    <w:p/>
    <w:p>
      <w:r>
        <w:t xml:space="preserve">FALTA — BOA FÉ DO ADQUIRENTE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Dispõe o § 10 do art. 1º do Dec-lei n.º 911/69: "A alienação fiduciária em garantia de veículo automotor deverá, para fins probatórios, constar do Certificado em Registro, a que se refere o art. 52 do Código Nacional de Trânsito". - O § 1º do mesmo artigo reza: "A alienação fiduciária somente se prova por escrito e seu instrumento, público ou particular, qualquer que seja o seu valor, será obrigatoriamente arquivado, por cópia ou microfilme, no Registro de Títulos e Documentos do domicílio do credor, sob pena de não valer contra terceiros, e conterá..." Julgado em 28-09-1982 Jurisprudência Catarinense, 2º trimestre 1984 - N.º XLIV - Pág. 229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constando do certificado de propriedade a garantia fiduciária, resta evidenciada a boa fé do terceiro adquirente mormente quando o contrato de alienação não foi arquivado no Ofício de Títulos e Documentos, em tempo hábil.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2026-07-28T06:41:41.096Z</dcterms:created>
  <dcterms:modified xsi:type="dcterms:W3CDTF">2026-07-28T06:41:41.097Z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