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27/06/1983</w:t>
      </w:r>
    </w:p>
    <w:p/>
    <w:p>
      <w:r>
        <w:t xml:space="preserve">ANULAÇÃO DE ESCRITURA — NECESSIDADE DE QUE OCORRA O PRESSUPOSTO DO CONHECIMENTO DO FATO PELO MANDATÁRIO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...A anulação da escritura não decorre da alienação após a morte do vendedor, mas sim, do conhecimento deste fato pelo mandatário. - Os autores apenas se apegam à lavratura do ato após o falecimento; logo, o silêncio do procurador não tem maior conseqüência, não se podendo falar em "confissão "ficta"". - Em 09-12-1960, Cezário A. M. e sua mulher outorgaram procuração a Jurandy B. L. para outorga de escritura de compra e venda do imóvel a João G.. - Em 17-12-1960 a escritura foi lavrada no 2º Tabelionato de Notas de Santa Izabel. E no mesmo dia (17-12-1960) Cezário A. M. veio a falecer. - Embora se admita a lavratura após a morte do mandante, diante da hora do falecimento e do expediente de cartório, "o ato subsiste". - É de jurisprudência: " Para a ineficácia de venda feita por mandatário após a morte do mandante é necessário demonstrar que o procurador ou o adquirente tinha ciência daquele fato" (RT ... 272/236). - Isto não ocorreu; portanto, a ação não pode vingar. Julgado em 28-06-1983 Revista dos Tribunais - Vol. 580 - Pág. 78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anulação de escritura de compra e venda outorgada por procurador após o falecimento do mandante pressupõe o conhecimento deste fato pelo mandatário, nos termos do disposto no art. 1.321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2026-07-28T04:09:36.443Z</dcterms:created>
  <dcterms:modified xsi:type="dcterms:W3CDTF">2026-07-28T04:09:36.444Z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