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29/10/1984</w:t>
      </w:r>
    </w:p>
    <w:p/>
    <w:p>
      <w:r>
        <w:t xml:space="preserve">INALIENABILIDADE, INCOMUNICABILIDADE E IMPENHORABILIDADE — TRANSFERÊNCIA PARA CADERNETA DE POUPANÇA -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é admissível sub-rogação de imóvel inalienável por depósito em caderneta de poupança. - Ainda que, em tese, fosse possível a sub-rogação, teria ela de afastar-se em virtude da provável ruína do bem herdado, frustrando-se a intenção do testador. - A renda em caderneta de poupança é de apenas 6% ao ano. - Confunde-se, em geral, a correção monetária do principal depositado com o rendimento. - Levantar o "quantum" da correção monetária significa promover a descapitalização. - A própria correção da moeda é efeito da inflação, que tende a ser debelada ou, ao menos, reduzida. - Deferir o pedido seria invalidar a cláusula de inalienabilidade, o que é rigorosamente defeso pela lei (art. 1.676 do Código Civil). - Deram provimento ao recurso para indeferir o pedido. Julgado em 30-10-1984 Arquivo do Ementário Forense, TJ/ 1.347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admissível sub-rogação de imóvel inalienável por depósito em caderneta de poupança.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2026-10-26T03:41:16.474Z</dcterms:created>
  <dcterms:modified xsi:type="dcterms:W3CDTF">2026-10-26T03:41:16.474Z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