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14/05/1984</w:t>
      </w:r>
    </w:p>
    <w:p/>
    <w:p>
      <w:r>
        <w:t xml:space="preserve">ARRENDAMENTO MERCANTIL — TÍTULOS DE TERCEIROS - RECEBIMENTO PARA AMORTIZAÇÃO OU LIQUIDAÇÃO - QUANDO DESCARACTERIZAM A FORÇA EXECUTIVA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nada impede que o arrendador. No contrato de arrendamento mercantil ou "leasing", cobre, por via executiva, com base em título extrajudicional, o saldo, prestações ou taxas de arrendamento, quando no ajuste há inclusive referências expressas em tal sentido. - A ação estará fundada assim, no próprio contrato tido pela legislação atual, como documento público ou particular, caracterizador de título com força executiva. - Ocorre, no entanto, que o locador (apesar de inicialmente haver negado o fato) recebeu ... diversas promissórias de terceiros, num total de ... Cr$ 41.000.000 (quarenta e um milhões de cruzeiros) para liquidação ou amortização da dívida proveniente do contrato e não forneceu esclarecimentos suficientes sobre a posição das mesmas. Não se sabe se foram negociadas, resgatadas ou quitadas parcialmente. O fato é que permanecem em poder da empresa embargada. - É bem verdade que ..., por fotocópias, são os títulos acostados aos autos, acompanhados de instrumentos de protesto por falta de pagamento, evidenciando a sua não liquidação nos respectivos vencimentos. - Mas todas as promissórias foram apresentadas ao Cartório de Protesto pelo Banco brasileiro de descontos S.ª, a quem foram endossadas, pressupondo, em princípio, a existência de contrato de desconto bancário. - Também não se sabe se após os protestos os títulos foram objeto de execução se houve pagamento total ou parcial, se a própria endossante honrou a obrigação, etc., etc. - O fato é que assim procedendo a embargada descaracterizou a liquidez e certeza do seu crédito, tornando impossível a utilização do processo executivo. - O título executivo, para autorizar a execução, haverá sempre de representar uma obrigação precisa quanto ao seu objeto, qual seja a sua liquidez. Se isso não ocorre, o credor, embora aparentemente munido de título executivo, terá primeiro de lançar mão do processo de conhecimento para obter a condenação do devedor. É o que ocorre no caso em questão. A complexidade das relações negociais entre a locadora e a locatária, com recebimento de promissórias de terceiros, como caução ou pagamento da dívida, levaram a posições tais que só em leito processual adequado, podem ser solucionados. - Diante do exposto, dou provimento ao recurso, para, em consequência, julgar procedentes os embargos, tendo por extinta a execução e insubsistente a penhora efetivada, suportando a embargada as custas deste processo e honorários de 10% sobre o valor da causa que é o mesmo do processo em apenso. Julgado em 15-05-1984 Arquivo do Ementário Forense, TA/599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liquidez e certeza da dívida ficam prejudicadas quando o locador recebe títulos de terceiros para amortização ou liquidação do débito, não os devolve e não esclarece com segurança o seu destino, e executa o locatário pela totalidade da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2026-10-26T02:34:22.983Z</dcterms:created>
  <dcterms:modified xsi:type="dcterms:W3CDTF">2026-10-26T02:34:22.983Z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