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Julgado em: </w:t>
      </w:r>
      <w:r>
        <w:t xml:space="preserve">16/04/1984</w:t>
      </w:r>
    </w:p>
    <w:p/>
    <w:p>
      <w:r>
        <w:t xml:space="preserve">QUANDO NÃO PODE O AVALISTA DISCUTIR A ORIGEM DO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caso é de típico julgamento antecipado, sem necessidade de produção de provas em audiência, (art. 740, parágrafo único, do CPC). - No mais, o avalista que não nega a sua assinatura e nem a validade da nota promissória, pretende discutir a "causa debendi". Não lhe é permitido, entretanto, fazê-lo. O título está revestido de todas as formalidades legais; é liquido, certo e exigível. Constitui o aval obrigação autônoma e independente, que deve ser cumprida por aquele que se obrigou. Assim é a jurisprudência, (JC vol. 30, págs 182, 374 e 419). Julgado em 17-04-1984 Jurisprudência Catarinense, 2ª Trimestre 1984, nº XLIV - pág. 145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a nota promissória revestida de todas as formalidades legais e constituindo o aval uma obrigação formal, autônoma e independente, não pode o avalista discutir a origem do título que representa dívida líquida, certa e exigível.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2026-07-28T01:44:24.749Z</dcterms:created>
  <dcterms:modified xsi:type="dcterms:W3CDTF">2026-07-28T01:44:24.749Z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