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Julgado em: </w:t>
      </w:r>
      <w:r>
        <w:t xml:space="preserve">16/04/1984</w:t>
      </w:r>
    </w:p>
    <w:p/>
    <w:p>
      <w:r>
        <w:t xml:space="preserve">QUANDO NÃO PODE O AVALISTA DISCUTIR A ORIGEM DO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caso é de típico julgamento antecipado, sem necessidade de produção de provas em audiência, (art. 740, parágrafo único, do CPC). - No mais, o avalista que não nega a sua assinatura e nem a validade da nota promissória, pretende discutir a "causa debendi". Não lhe é permitido, entretanto, fazê-lo. O título está revestido de todas as formalidades legais; é liquido, certo e exigível. Constitui o aval obrigação autônoma e independente, que deve ser cumprida por aquele que se obrigou. Assim é a jurisprudência, (JC vol. 30, págs 182, 374 e 419). Julgado em 17-04-1984 Jurisprudência Catarinense, 2ª Trimestre 1984, nº XLIV - pág. 145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a nota promissória revestida de todas as formalidades legais e constituindo o aval uma obrigação formal, autônoma e independente, não pode o avalista discutir a origem do título que representa dívida líquida, certa e exigível.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2026-10-26T03:03:45.378Z</dcterms:created>
  <dcterms:modified xsi:type="dcterms:W3CDTF">2026-10-26T03:03:45.378Z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