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24/04/1984</w:t>
      </w:r>
    </w:p>
    <w:p/>
    <w:p>
      <w:r>
        <w:t xml:space="preserve">ADQUIRENTE PROMITENTE COMPRADOR — RECUSA EM RECEBER AS CHAVES - DEVER DE PAGAR AS PRESTAÇÕES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ilustre Juiz "a quo" diz no "decisum" que assim se o negócio preliminar não foi ainda rescindido, dúvida não há de que a responsabilidade pelo pagamento das cotas condominiais é dos Réus adquirentes nos termos da Lei específica, e não da denunciada Promitente-Vendedora, que fica excluída do feito, ferindo assim, o ponto nodal da questão. - O Apelante se agarra no fato de não ter ingressado na posse do imóvel, mas isso é desinfluente, ao nosso ver, diante dos termos da convenção e da circunstância do negócio jurídico não ter sido ainda desfeito. - Isto é, enquanto a Promessa de Venda não for rescindida, a responsabilidade pelos ônus que recaem sobre o imóvel deve ser do Apelante que não ingressou no apartamento porque não quis. Julgado em 25-04-1984 Arquivo do EMFOR, TA/ 569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adquirente responde pelo débito da unidade segundo a regra do parágrafo único do art. 4º da Lei 4.591/ 84. A circunstância do Promitente-Comprador não ter querido receber as chaves do apartamento não o exime de pagar as prestações do condomínio do prédio.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2026-10-26T03:21:15.768Z</dcterms:created>
  <dcterms:modified xsi:type="dcterms:W3CDTF">2026-10-26T03:21:15.768Z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