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24/04/1984</w:t>
      </w:r>
    </w:p>
    <w:p/>
    <w:p>
      <w:r>
        <w:t xml:space="preserve">ADQUIRENTE PROMITENTE COMPRADOR — RECUSA EM RECEBER AS CHAVES - DEVER DE PAGAR AS PRESTAÇÕES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ilustre Juiz "a quo" diz no "decisum" que assim se o negócio preliminar não foi ainda rescindido, dúvida não há de que a responsabilidade pelo pagamento das cotas condominiais é dos Réus adquirentes nos termos da Lei específica, e não da denunciada Promitente-Vendedora, que fica excluída do feito, ferindo assim, o ponto nodal da questão. - O Apelante se agarra no fato de não ter ingressado na posse do imóvel, mas isso é desinfluente, ao nosso ver, diante dos termos da convenção e da circunstância do negócio jurídico não ter sido ainda desfeito. - Isto é, enquanto a Promessa de Venda não for rescindida, a responsabilidade pelos ônus que recaem sobre o imóvel deve ser do Apelante que não ingressou no apartamento porque não quis. Julgado em 25-04-1984 Arquivo do EMFOR, TA/ 569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adquirente responde pelo débito da unidade segundo a regra do parágrafo único do art. 4º da Lei 4.591/ 84. A circunstância do Promitente-Comprador não ter querido receber as chaves do apartamento não o exime de pagar as prestações do condomínio do prédio.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2026-07-28T02:01:13.945Z</dcterms:created>
  <dcterms:modified xsi:type="dcterms:W3CDTF">2026-07-28T02:01:13.945Z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