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16/05/1984</w:t>
      </w:r>
    </w:p>
    <w:p/>
    <w:p>
      <w:r>
        <w:t xml:space="preserve">COBRANÇA JUDICIAL — PRESTAÇÕES A SE VENCEREM NO CURSO DO PROCESSO - INCLUSÃO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pretensão funda-se rigorosamente no permissivo do art. 290 do CPC, e o entendimento pretoriano em contrário arrima-se na consideração de que sendo tais cotas variáveis seu valor ainda não é determinado, nem certo de modo a autorizar sua exigência, juntamente com as vencidas. - Sucede que, no caso, a variabilidade das cotas originou-se de autorização regular da assembléia dos condôminos, não ignorada, certamente, pelo apelante, e nem o fato foi por este impugnado. - Desprovê-se ao apelo. Julgado em 17-05-1984 Arquivo do EMFOR, TA/ 565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cobrança judicial dos encargos do condomínio, incluem-se na condenação as prestações que se vencerem no curso do processo, (CPC, art. 290), pouco importando que seu "quantum" seja variável desde que tal aconteça por previsão orçamentária regular.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2026-07-28T04:09:07.252Z</dcterms:created>
  <dcterms:modified xsi:type="dcterms:W3CDTF">2026-07-28T04:09:07.252Z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