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Julgado em: </w:t>
      </w:r>
      <w:r>
        <w:t xml:space="preserve">03/06/1984</w:t>
      </w:r>
    </w:p>
    <w:p/>
    <w:p>
      <w:r>
        <w:t xml:space="preserve">EXTINÇÃO DO CONDOMÍNIO PELOS CONDÔMINOS — SE PODEM PRETENDÊ-LA SEM A ANUÊNCIA DO USUFRUTUÁRIO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...Ora, a cláusula de usufruto sobre o imóvel exclui o domínio pleno do nu-proprietário sobre a coisa, posto que se trata de direito real oponível "erga omnes", nos termos do art. 674, III, do CC brasileiro. Assim, não tem o nu-proprietário o exercício pleno da propriedade, uma vez que seus direitos são limitados à vontade do usufrutuário, não só quanto ao exercício mesmo da propriedade, mas também, quanto ao exercício da posse, esta, inclusive, mais acentuadamente pertence a este. - A extinção do condomínio, à vista disso, depende, indiscutivelmente, da anuência do usufrutuário, pois sendo o usufruto um direito real sobre imóveis, incide diretamente sobre este, impedindo assim, o pleno exercício do "jus utendi, fruendi et abutendi" pelo nu-proprietário. - Trata-se de direito absoluto que implica a sujeição da coisa ao titular, com direito de sequela, persecutível por este nas mãos de quem quer que se encontre o bem. - Neste sentido leciona ORLANDO GOMES, falando sobre as características dos direitos reais: "O direito de sequela é o que possui o titular de direito real de seguir a coisa, incessantemente, em poder de todo e qualquer detentor ou possuidor. Para significá-lo, em toda a sua intensidade, diz-se que o direito real adere à coisa, como lepra ao corpo" ("Direitos Reais, Forense" 1976, pág. 17). - Ora, se o Usufruto é um direito real, o que é induvidoso exatamente pelo preceito do art. 674, III do CC brasileiro, sem anuência do usufrutuário é impossível aos condôminos, ora apelantes, extinguir o usufruto na forma pretendida. Julgado em 04-06-1984 Revista dos Tribunais, Outubro, 1984 -Vol. 588 - Pág. 184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o imóvel gravado com cláusula de usufruto vitalício, não podem os condôminos proprietários, pretender a extinção do condomínio sem a anuência do usufrutuário, devendo a concordância ser promovida pelos próprios interessados.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2026-10-26T05:56:07.060Z</dcterms:created>
  <dcterms:modified xsi:type="dcterms:W3CDTF">2026-10-26T05:56:07.060Z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