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Julgado em: </w:t>
      </w:r>
      <w:r>
        <w:t xml:space="preserve">21/05/1984</w:t>
      </w:r>
    </w:p>
    <w:p/>
    <w:p>
      <w:r>
        <w:t xml:space="preserve">AÇÃO DE DESPEJO POR FALTA DE PAGAMENTO —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decidem porque a correção monetária da Lei º 6.899/81 é devida exclusivamente nas ações de cobrança, condenatórias ou executivas, não sendo outro o sentido da infeliz expressão "débito oriundo de decisão judicial", produto da pobreza de conhecimentos e falta de técnica. O pagamento do débito, nas ações de despejo não "resulta de decisão judicial", sendo faculdade legalmente reconhecida ao locatário e exercendo-se em consequência , nos estritos termos da lei, o que importa em serem devidas apenas as parcelas que a lei específica prevê. (Lei nº 6.640 de 1979. art. 36) Julgado em 22-05-1984 Arquivo do EMFOR, TA/563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da Lei nº 6.899 de 1981 é devida nas ações de cobrança, condenatórias ou executivas, não tendo cabimento sua inclusão no cálculo da purgação da mora em ação de despejo por falta de pagamento.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2026-07-28T04:09:34.484Z</dcterms:created>
  <dcterms:modified xsi:type="dcterms:W3CDTF">2026-07-28T04:09:34.484Z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