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21/05/1984</w:t>
      </w:r>
    </w:p>
    <w:p/>
    <w:p>
      <w:r>
        <w:t xml:space="preserve">AÇÃO DE DESPEJO POR FALTA DE PAGAMENTO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 porque a correção monetária da Lei º 6.899/81 é devida exclusivamente nas ações de cobrança, condenatórias ou executivas, não sendo outro o sentido da infeliz expressão "débito oriundo de decisão judicial", produto da pobreza de conhecimentos e falta de técnica. O pagamento do débito, nas ações de despejo não "resulta de decisão judicial", sendo faculdade legalmente reconhecida ao locatário e exercendo-se em consequência , nos estritos termos da lei, o que importa em serem devidas apenas as parcelas que a lei específica prevê. (Lei nº 6.640 de 1979. art. 36) Julgado em 22-05-1984 Arquivo do EMFOR, TA/563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da Lei nº 6.899 de 1981 é devida nas ações de cobrança, condenatórias ou executivas, não tendo cabimento sua inclusão no cálculo da purgação da mora em ação de despejo por falta de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2026-10-26T03:20:31.884Z</dcterms:created>
  <dcterms:modified xsi:type="dcterms:W3CDTF">2026-10-26T03:20:31.884Z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