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07/02/1984</w:t>
      </w:r>
    </w:p>
    <w:p/>
    <w:p>
      <w:r>
        <w:t xml:space="preserve">RESPONSABILIDADE DO SEU REPRESENTANTE — SE CESSA COM A SUA RETIRADA DA SOCIEDADE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circunstância de ser uma pessoa jurídica a depositária judicial, não exclui a responsabilidade de seu representante pela guarda e conservação dos bens depositados, pois do contrário ficaria, no caso, sempre frustada a sanção ao depositário infiel, que só poderá incidir sobre uma pessoa física. Daí lição de PONTES DE MIRANDA: "Se o depositário é pessoa jurídica, a pena há de ser combinada a quem for o representante dela em juízo" ("Comentários ao CPC", vol. XIII, pág. 68). - O vínculo que se estabelece entre o depositário e o Juízo de execução é relação de direito público. De modo que a alteração do contrato social, com a retirada do sócio que firmou o compromisso de depositário, não faz cessar imediatamente a obrigação do encargo. Há que ser dada ciência ao Juízo e aguardar a autorização para a transferência dos bens depositados. Enquanto não concedido a dispensa, perdura o encargo, com dever de restituir a coisa depositada. - Certa está, portanto, a decisão agravada, neste ponto. Julgado em 08-02-1984 Arquivo do EMFOR, TA/ 573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encargo do Depositário que firmou auto de depósito perdura enquanto o Juiz não o dispensar, reconhecendo a sua retirada da sociedade comercial da qual era representante. 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2026-10-26T04:57:59.869Z</dcterms:created>
  <dcterms:modified xsi:type="dcterms:W3CDTF">2026-10-26T04:57:59.869Z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