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03/10/1984</w:t>
      </w:r>
    </w:p>
    <w:p/>
    <w:p>
      <w:r>
        <w:t xml:space="preserve">LEVANTAMENTO PELO EXPROPRIADO — EXISTÊNCIA DE AÇÃO ANULATÓRIA DO TÍTULO DE PROPRIEDADE - SE O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simples fato de o domínio dos expropriados estar sendo questionado em ação própria e distinta não justifica a retenção do depósito da indenização arbitrada em expropriatória. A lei, como aqui se pondera, exige mais, a existência de "dúvida fundada sobre o domínio", (parágrafo único do art. 34 do Dec-lei 3.365/41). Em decisão invocada por THEOTÔNIO NEGRÃO na 13ª ed. de seu "Código de Processo Civil e Legislação Processual em Vigor", do egrégio TRF, essa circunstância foi bem enfatizada (nota 2 ao mencionado preceito, pp. 481 e 482), assentando que, "se o expropriado tem título de domínio devidamente transcrito, não impede o levantamento do preço o simples ajuizamento de ação anulatória deste, por isso que, enquanto não anulado o título, regularmente, o seu titular é legítimo proprietário". É precisamente essa a hipótese dos autos, com o esclarecimento, reiterado nos julgamentos anteriores trazidos a confronto, pelos expropriados, focalizando a mesma questão, de que a aludida demanda dominial não se reveste de tal seriedade que essa sustação excepcional por essa razão peculiar fosse admissível. Julgado em 04-10-1984 Revista dos Tribunais, Janeiro, 1985 - Vol. 591 - Pág. 103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expropriado tem título de domínio devidamente transcrito, não impede o levantamento do preço o simples ajuizamento de ação anulatória deste, pelo fato de que, enquanto não anulado o título regularmente, seu titular é legítimo proprietário.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2026-07-27T23:44:04.315Z</dcterms:created>
  <dcterms:modified xsi:type="dcterms:W3CDTF">2026-07-27T23:44:04.315Z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