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07/10/1984</w:t>
      </w:r>
    </w:p>
    <w:p/>
    <w:p>
      <w:r>
        <w:t xml:space="preserve">AÇÃO DE INDENIZAÇÃO POR RETARDAMENTO NO PAGAMENTO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a indenização que se pede nessas ações não tem o mesmo fundamento da sentença que fixa o preço da desapropriação; seu fundamento é o dano causado pelo não cumprimento daquela sentença. - Trata-se de uma ação típica de reparação por ato ilícito pelo qual o patrimônio da vítima deve ser colocado na situação em que estaria se o evento danoso não ocorresse. Para isto é preciso, além do dano decorrente do não pagamento da importância fixada durante o lapso de tempo ocorrido (dano emergente) indenizar o lucro cessante causado pela não disponibilidade do imóvel durante esse período. - Se cabem juros compensatórios em ação de desapropriação em que o prejuízo é causado licitamente, com mais razão, cabem em uma reparação por ato ilícito. Julgado em 08-10-1984 Arquivo do EMFOR, TJ/ 1.323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previstos na decisão da expropriação, cabem juros compensatórios por força do princípio de que toda reparação civil por ato ilícito deve repor a vítima na situação em que estaria se o evento danoso não tivesse ocorrido.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2026-10-26T02:32:43.475Z</dcterms:created>
  <dcterms:modified xsi:type="dcterms:W3CDTF">2026-10-26T02:32:43.475Z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