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07/10/1984</w:t>
      </w:r>
    </w:p>
    <w:p/>
    <w:p>
      <w:r>
        <w:t xml:space="preserve">AÇÃO DE INDENIZAÇÃO POR RETARDAMENTO NO PAGAMENTO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a indenização que se pede nessas ações não tem o mesmo fundamento da sentença que fixa o preço da desapropriação; seu fundamento é o dano causado pelo não cumprimento daquela sentença. - Trata-se de uma ação típica de reparação por ato ilícito pelo qual o patrimônio da vítima deve ser colocado na situação em que estaria se o evento danoso não ocorresse. Para isto é preciso, além do dano decorrente do não pagamento da importância fixada durante o lapso de tempo ocorrido (dano emergente) indenizar o lucro cessante causado pela não disponibilidade do imóvel durante esse período. - Se cabem juros compensatórios em ação de desapropriação em que o prejuízo é causado licitamente, com mais razão, cabem em uma reparação por ato ilícito. Julgado em 08-10-1984 Arquivo do EMFOR, TJ/ 1.323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previstos na decisão da expropriação, cabem juros compensatórios por força do princípio de que toda reparação civil por ato ilícito deve repor a vítima na situação em que estaria se o evento danoso não tivesse ocorrido.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2026-07-27T23:45:30.196Z</dcterms:created>
  <dcterms:modified xsi:type="dcterms:W3CDTF">2026-07-27T23:45:30.196Z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