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93.438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23/09/1984</w:t>
      </w:r>
    </w:p>
    <w:p/>
    <w:p>
      <w:r>
        <w:t xml:space="preserve">ATO ANTERIOR À OBRIGAÇÃO QUE ORIGINOU A EXECUÇÃO — NÃO INSCRIÇÃO DA ESCRITURA -
PROCEDÊNCIA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controvertida na doutrina e na jurisprudência. - Refere HAMILTON DE MORAES E BARROS que: "Conservam os embargos de terceiro sua natureza de proteção possessória contra ato de origem judicial. Por isso, neles somente se discute o domínio, quando foi evidente que pertence a uma das partes" (cf, "Comentários", vol. IX/361, ed. Forense), acrescentando esse autor que: "Podem manifestar os embargos de terceiro o senhor ou possuidor, qualquer que seja o direito em virtude do qual tem a posse do bem: seja direito real, seja direito obrigacional" (ob. cit., pág. 367). - Sob esse aspecto, portanto, seria viável a pretensão uma vez que visam os embargantes à proteção da posse obtida com boa-fé. - Porque a lide nos embargos de terceiro é restrita, versando apenas a inclusão ou exclusão do bem na execução e não os direitos que o terceiro possa ter sobre a coisa, fundado na lição no autor citado, há precedente jurisprudencial relatado pelo eminente Juiz RENAN LOTUFO (JTA 75/ 125), que apreciou hipótese de penhora de imóvel prometido à venda, sem inscrição do respectivo contrato, considerando disponível, embargos de terceiro, e, por via de consequência, válida a penhora. - Tal orientação condiciona o acolhimento dos embargos à criação do direito real, oponível "erga omnes", tese, aliás, sufragada no RE 93.438, 2ª Câmara do STF (JTA 77/348). Verifica-se no caso, que a alteração do bem penhorado ocorreu em 31-10-79, no dia 1-12-69 foi o imóvel locado a terceiro. - O executado prestou fiança em 22-1-49 e os aluguéis garantidos não foram pagos a partir de janeiro de 1981. Concluiu-se pois, que a alienação não foi fraudulenta. A orient ação adotada pela sentença conquanto inexiste o registro da escritura aquisitiva, pelo qual seria transferido o domínio -porque prestigiou a boa fé dos embargantes - merece ser confirmada. - Em caso assemelhado, aliás, orientou-se a C. 9ª Câmara deste Tribunal, rel. Juiz VALLIM BELLOCCHI, a despeito das divergências que grassam sobre a necessidade ou não do registro do título pertinente ao terceiro, no sentido de proteger a posse, ainda que sem aquela formalidade do registro (JTA 73/ 271). No mesmo sentido TJA 80/ 107. - Tal raciocínio adotado com relação a hipótese de compromisso de venda e compra não inscrito, com maior razão merece observância no caso de "venda e compra definitiva", embora sem registro, em que a posse foi transmitida aos adquirentes antes da constituição da própria obrigação, cujo inadimplemento resultou na execução e penhora do imóvel vendido - como é o caso dos presentes autos. Julgado em 24-09-1984 Revista dos Tribunais, Janeiro, 1985 - Vol. 591 - Pág. 172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compra e venda do imóvel anterior à obrigação cujo o inadimplemento resultou na execução e penhora do bem alienado, procedem os embargos de terceiro ofertados pelo adquirente, embora não realizado o registro da escritura definitiva.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2026-10-26T04:54:43.266Z</dcterms:created>
  <dcterms:modified xsi:type="dcterms:W3CDTF">2026-10-26T04:54:43.266Z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