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CHEQUE E NOTA PROMISSÓRIA</w:t>
      </w:r>
    </w:p>
    <w:p/>
    <w:p>
      <w:r>
        <w:rPr>
          <w:b/>
          <w:bCs/>
        </w:rPr>
        <w:t xml:space="preserve">Julgado em: </w:t>
      </w:r>
      <w:r>
        <w:t xml:space="preserve">17/05/1984</w:t>
      </w:r>
    </w:p>
    <w:p/>
    <w:p>
      <w:r>
        <w:t xml:space="preserve">PAGAMENTO DO PREÇO TOTAL DO CONTRATO — DEVER DO PROMITENTE-VENDEDOR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Realmente, se a hipoteca é um pacto adjecto, cuja finalidade é gravar o imóvel, que deverá responder pela dívida, caso esta não seja liquidada, não forma sentido manter-se o gravame sobre o imóvel cujo preço foi devida o totalmente quitado. Verifique-se ainda, que as últimas prestações foram pagas adiantadamente, embora perdure a garantia hipotecária, já agora sem objeto, uma vez que não há o que garantir. Nesse particular é que funciona o disposto no art. 755 do Código Civil que diz: "Nas dividas garantidas por penhor, anticrese ou hipoteca, a coisa dada em garantia fica sujeita, por vínculo real, ao cumprimento da obrigação". Isto quer dizer que a coisa hipotecada garantirá a obrigação enquanto esta não for cumprida. Uma vez cumprida esta, a garantia perde o seu objeto, desaparecendo a necessidade de manutenção do gravame hipotecário. - Logo, quando se salda a dívida, liquidando-se a obrigação, fica-se com direito à baixa na hipoteca, ou seja, ao cancelamento do ônus que pesa sobre o imóvel. Julgado em 18-05-1984 Arquivo do EMFOR, TJ/ 1.326 EMFOR 438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Uma vez liquidado o preço total do contrato de compra e venda deve o Promitente Vendedor providenciar a liquidação e a baixa da hipoteca a fim de ser liberado o imóvel.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2026-10-26T03:21:09.553Z</dcterms:created>
  <dcterms:modified xsi:type="dcterms:W3CDTF">2026-10-26T03:21:09.553Z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