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Julgado em: </w:t>
      </w:r>
      <w:r>
        <w:t xml:space="preserve">26/11/1984</w:t>
      </w:r>
    </w:p>
    <w:p/>
    <w:p>
      <w:r>
        <w:t xml:space="preserve">EFEITOS A PARTIR DE QUE MOMENTO FLUEM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Embora a sentença de interdição declare um estado pré-existente de incapacidade, a doutrina especializada a classifica como constitutiva positiva. Assim, não obstante a possibilidade de anulação de atos praticados antes de sua prolação, dita sentença só produz efeitos a partir da data em que é proferida. É o que se vê dos arts. 452 do Código Civil e 1.148 do Código de Processo Civil. - A diferença entre o ato praticado antes da interdição e o praticado depois dela, pelo doente mental, está em que, no último, não há necessidade de prova de incapacidade, eis que esta se presume "juris et de jure". Julgado em 27-11-1984 Arquivo do EMFOR, TJ/1.324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sentença que decreta a interdição da pessoa física produz efeitos a partir de sua prolação e não da data em que se constatou a incapacidade. Tal circunstância, porém, não obsta que os atos anteriores venham a ser declarados nulos, mediante a prova de que, à época, o contraente já estava incapacitado para praticá-los.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2026-07-28T02:24:15.435Z</dcterms:created>
  <dcterms:modified xsi:type="dcterms:W3CDTF">2026-07-28T02:24:15.435Z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