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26/11/1984</w:t>
      </w:r>
    </w:p>
    <w:p/>
    <w:p>
      <w:r>
        <w:t xml:space="preserve">EFEITOS A PARTIR DE QUE MOMENTO FLUEM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a sentença de interdição declare um estado pré-existente de incapacidade, a doutrina especializada a classifica como constitutiva positiva. Assim, não obstante a possibilidade de anulação de atos praticados antes de sua prolação, dita sentença só produz efeitos a partir da data em que é proferida. É o que se vê dos arts. 452 do Código Civil e 1.148 do Código de Processo Civil. - A diferença entre o ato praticado antes da interdição e o praticado depois dela, pelo doente mental, está em que, no último, não há necessidade de prova de incapacidade, eis que esta se presume "juris et de jure". Julgado em 27-11-1984 Arquivo do EMFOR, TJ/1.324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decreta a interdição da pessoa física produz efeitos a partir de sua prolação e não da data em que se constatou a incapacidade. Tal circunstância, porém, não obsta que os atos anteriores venham a ser declarados nulos, mediante a prova de que, à época, o contraente já estava incapacitado para praticá-los.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2026-10-26T05:56:45.175Z</dcterms:created>
  <dcterms:modified xsi:type="dcterms:W3CDTF">2026-10-26T05:56:45.176Z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