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28/06/1984</w:t>
      </w:r>
    </w:p>
    <w:p/>
    <w:p>
      <w:r>
        <w:t xml:space="preserve">PRESSUPOSIÇÃO DE DIREITO PRÓPRIO DO IMPETRANTE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Pondera com acerto, o eminente jurista HELY LOPES MEIRELLES: "O impetrante, para ter legitimidade ativa há de ser o titular do direito individual, líquido e certo, para o qual pede proteção pelo mandado de segurança ("Mandado de Segurança e Ação Popular," 9º ed., pág. 26). - Na verdade, o direito individual deve pertencer a quem o reclama e não a terceiros ou simplesmente a determinada categoria, corporação ou associação de classe. Daí a afirmação do citado mestre, "... pelo mandado de segurança não se defende direito da coletividade, mas tão-somente-repetimos direito subjetivo próprio, individual. Para a proteção dos interesses da comunidade o remédio adequado é a ação popular constitucional, insubstituível pelo mandado de segurança". (STF, "Súmula nº 101" (*)). - Vale a pena repetir que o impetrante afirmou não dispor do poder de representação e não poder "falar em seu nome". Aliás, a ninguém é dado pleitear em nome próprio direito alheio, salvo quando autorizado por lei, (art. 6º do CPC). - Diante do exposto verifica-se a inexistência de legitimidade ativa e interesse de agir. É oportuno lembrar que simples interesse não se confunde com direito subjetivo, protegível por mandado de segurança. Julgado em 29-06-1984 Revista Trimestral de Jurisprudência, Dezembro, 1984 - Vol. 110 - Pág. 1.026 (*) O mandado de segurança não substitui a ação popular." (EMENTÁRIO FORENSE, Nº 193, st. AÇÃO POPULAR )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pressupões a existência de direito próprio do impetrante e somente pode socorrer-se dessa especialíssima ação, o titular do direito, lesado ou ameaçado de lesão, por ato ou omissão de autoridade.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2026-10-26T03:42:04.386Z</dcterms:created>
  <dcterms:modified xsi:type="dcterms:W3CDTF">2026-10-26T03:42:04.386Z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