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Julgado em: </w:t>
      </w:r>
      <w:r>
        <w:t xml:space="preserve">09/09/1984</w:t>
      </w:r>
    </w:p>
    <w:p/>
    <w:p>
      <w:r>
        <w:t xml:space="preserve">INCIDÊNCIA SOBRE ESTABELECIMENTO COMERCIAL — EXECUÇÃO FISCAL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Durante o processo de concordata, o devedor conserva a administração de seus bens e continua com o seu negócio sob a fiscalização do comissário (art. 167 da lei de Falências). Nessas condições, não se vislumbra nenhum conflito entre as posições do Juízo da Execução Fiscal e o Juízo da Concordata. O Comissário continua com a sua atuação fiscalizadora, enquanto que o Administrador é nomeado para assegurar a incolumidade dos bens penhorados. (CELSO NEVES, "Comentários ao CPC", Vol. VII/75, Forense). - A constrição judicial podia e devia concretizar-se, uma vez que, na forma da lei, a Fazenda do Estado não está sujeita aos efeitos da concordata. Não se alegue, pois, incompatibilidade da penhora realizada; tampouco é caso de entrever-se eventual excesso no ato constritivo que se levou a efeito, porquanto: a) montante da execução é elevado (...à época do ajuizamento da causa); b) a executada, como se disse, foi omissa quanto à nomeação de bens à penhora; c) não há prova efetiva de que o seu patrimônio resulte desfalcado o que de resto, é matéria para ser versada nos autos do pedido de concordata. Julgado em 10-09-1984 Revista dos Tribunais, Dezembro, 1984 - Vol. 590 - Pág. 105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admissível a penhora de estabelecimento industrial de devedor concordatário, uma vez que, na forma da lei, a Fazenda do Estado não está sujeita aos efeitos da concordata, não se vislumbrando, pois, nenhum conflito entre as posições do Juízo da execução fiscal e o Juízo da concordata.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2026-10-26T04:35:15.861Z</dcterms:created>
  <dcterms:modified xsi:type="dcterms:W3CDTF">2026-10-26T04:35:15.861Z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