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24/04/1984</w:t>
      </w:r>
    </w:p>
    <w:p/>
    <w:p>
      <w:r>
        <w:t xml:space="preserve">PROCESSO CAUTELAR — CITAÇÃO PARA O MESMO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CÂMARA LEAL, em sua obra clássica "Da Prescrição e da Decadência", ed. Saraiva, 1939, pág. 208, dizia: "O art. 172, I, dizendo que a prescrição se interrompe pela citação pessoal feita ao devedor, isto é, ao prescribente ou sujeito passivo, não especificou qual o processo ou ação determinante da citação, o que indica que não foi pensamento do legislador restringi-la à ação, contra a qual corre a prescrição. A indeterminação da citação, na redação do dispositivo, denota que ela se refere a qualquer processo judicial, que tenha por fim a realização ou proteção do direito porque qualquer ato judicial promovido pelo titular em defesa ou proteção do direito faz cessar a sua inércia ou negligência, tornando a prescrição inadmissível, pela carência de uma de suas condições elementares. Não há dúvida que a demanda, judicial, para exigir ou fazer valer o direito, contra o obstáculo criado ao seu exercício, ou violação, é o meio, por excelência de que dispõe o titular para interromper a prescrição, mas não é o único... há outros processos preparatórios da ação, que constituindo medidas de proteção ao direito, equivalem ao seu exercício pela ação e devem, portanto, interromper a prescrição." - YUSSEF S. CAHALI, em "Aspectos Processuais da Prescrição e da Decadência", ed. RT, págs. 56 e 57, também se manifesta contra a colocação da r. sentença, destacando-se: "Ora reconhecida a eficácia interruptiva da prescrição, à citação promovida posteriormente à concessão liminar da medida cautelar (ainda que com eficácia retroativa), não temos dúvida em reconhecer semelhante eficácia à citação inicial do processo cautelar, promovida no s termos do art. 802 do CPC. - "E tal assertiva fazemos, independentemente de qualquer consideração em torno da natureza do provimento cautelar, requerido..." - Assim, a fundamentação da r. sentença não pode ser aceita. Julgado em 25-04-1984 Revista dos Tribunais, Outubro, 1984 - Vol. 588 - Pág. 106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eficácia interruptiva da prescrição à citação promovida posteriormente à concessão liminar da medida cautelar (ainda que com efeito retroativo), é indispensável reconhecer semelhante eficácia a citação inicial do processo cautelar, promovida nos termos do art. 802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2026-10-26T04:58:28.910Z</dcterms:created>
  <dcterms:modified xsi:type="dcterms:W3CDTF">2026-10-26T04:58:28.910Z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