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Julgado em: </w:t>
      </w:r>
      <w:r>
        <w:t xml:space="preserve">21/06/1984</w:t>
      </w:r>
    </w:p>
    <w:p/>
    <w:p>
      <w:r>
        <w:t xml:space="preserve">SE ALTERA A NATUREZA DA INDENIZAÇÃO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Conheço do recurso, pela alínea d, entendendo comprovado o dissídio com os acórdão trazidos à colação, de ambas as Turmas, nos RREE nº 90.638 (RTJ 97/736) e 92.002 (RTJ 94/442), onde se acolhe a imposição da correção monetária, na indenização por ato ilícito contratual, mesmo antes da vigência da Lei nº 6.899/81. - O fato de ter sido reconhecida a culpa concorrente não desnatura a culpa contratual do Banco recorrido, mas tão somente lhe reduz a responsabilidade, no caso pela metade, como concluiu a sentença. Julgado em 22-06-1984 Revista Trimestral de Jurisprudência, Dezembro, 1984 - Vol. 110 - Pág. 1.279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culpa concorrente não altera a natureza da indenização, mas apenas restringe parcialmente a responsabilidade.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2026-07-27T23:35:20.218Z</dcterms:created>
  <dcterms:modified xsi:type="dcterms:W3CDTF">2026-07-27T23:35:20.218Z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