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02/06/1982</w:t>
      </w:r>
    </w:p>
    <w:p/>
    <w:p>
      <w:r>
        <w:t xml:space="preserve">SE A DISPENSA O JULGAMENTO ANTECIPADO DA 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procedimento ordinário ordenado para a separação contenciosa e a existência, neste, antes da instrução , no momento conciliatório, (art. 338 do CPC), parecem autorizar a convicção de se haver suprimido, no desquite litigioso, a conciliação inaugural. - Não se pode olvidar, no entanto, que a Lei nº 968 de 10-12-49, que estabelece a fase preliminar de conciliação ou acordo nas causas de desquite litigioso não foi revogada, expressa ou tacitamente não obstante valiosas opiniões em contrário. A disposição geral não invalida a especial, segundo princípio assente em hermenêutica. - Entendo, por isso, que o procedimento ordinário, na separação contenciosa, só tem início após o tentame de acordo. Julgado em 03-06-1982 Jurisprudência Mineira, Abril a Junho, 1982 - Vol. 86 - Pág. 193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se revela a sentença proferida em separação judicial, mediante julgamento antecipado da lide e sem a indispensável audiência prévia de conciliação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2026-07-28T01:44:32.472Z</dcterms:created>
  <dcterms:modified xsi:type="dcterms:W3CDTF">2026-07-28T01:44:32.472Z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