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18/06/1984</w:t>
      </w:r>
    </w:p>
    <w:p/>
    <w:p>
      <w:r>
        <w:t xml:space="preserve">DATA DE EMISSÃO — FALTA - QUANDO COMO TAL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JOÃO EUNÁPIO BORGES elucida, também que, "no cheque, a data é necessária, não acarretando porém, a sua falta, a nulidade do título... . Na Lei Uniforme arts. 1º, nº 5 e 2º , a data constitui requisito essencial, não valendo como cheque o título que não a contiver". ("Títulos de Crédito", nº 195, pág. 166, ed. Forense). - Portanto, como bem julgou o digno Magistrado, apoiado na doutrina e na jurisprudência que mencionou, a execução não poderia prosperar. Julgado em 19-06-1984 Revista dos Tribunais, Janeiro, 1985 - Vol. 591 - Pág. 124 EMFOR 438 EMENTA: - Em benefício do menor em situação irregular que carecer de representação permanente será deferida tutela, nos termos da lei civil. RESUMO DO ACÓRDÃO: - ... Impossível, sem dúvida, nos termos da lei substantiva civil, a nomeação de tutor quando o menor está sob o pátrio poder, mesmo existindo consentimento escrito e inequívoco do próprio pai, já que o pátrio poder é irrenunciável. Mas, na espécie, o pai do menor é falecido e o nome de sua mãe que está desaparecida, singularmente nem consta do assento de seu nascimento. A irregularidade dessa situação estava a reclamar a aplicação das normas do Código de Menores, cujo art. 25, assim dispõe: "A tutela será deferida nos termos da lei civil em benefício do menor em situação irregular que carecer de representação permanente. Parágrafo único - A tutela, para os fins desta lei, implica necessariamente o dever de guarda e será exercida por prazo indeterminado". Considera-se em situação irregular o menor privado de representação ou assistência legal, pela falta eventual dos pais ou responsável. ("Código de Menores" art. 2º , IV c/c o art. 412 do "Código Civil"). Julgado em 06-09-1984 Revista dos Tribunais, Janeiro, 1985 - Vol. 591 - Pág. 82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cheque sem o requisito essencial da data de emissão não perde sua característica como tal, mas sim sua eficácia executiva, não podendo, assim, ser considerado como título executivo extrajudicial capaz de autorizar 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2026-07-27T23:34:54.475Z</dcterms:created>
  <dcterms:modified xsi:type="dcterms:W3CDTF">2026-07-27T23:34:54.475Z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