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Ap. 8.995</w:t>
      </w:r>
    </w:p>
    <w:p>
      <w:r>
        <w:rPr>
          <w:b/>
          <w:bCs/>
        </w:rPr>
        <w:t xml:space="preserve">Julgado em: </w:t>
      </w:r>
      <w:r>
        <w:t xml:space="preserve">02/10/1985</w:t>
      </w:r>
    </w:p>
    <w:p/>
    <w:p>
      <w:r>
        <w:t xml:space="preserve">RESPONSABILIDADE DO ESTADO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decidem, preliminarmente, acolhendo o agravo retido com fundamento do art. 107 e § único da Constituição Federal, porque a relação jurídica entre o estado e o funcionário, responsável no caso de dolo ou culpa grave é diversa da existência entre aquele e o cidadão que sofreu a lesão de direito governando a primeira hipótese a teoria subjetiva da culpa e a segunda a objetiva. Julgado em 03-10-1985 VOTO VENCIDO DO JUIZ MELLO SERRA (Relator). - Parcialmente fiquei vencido, porque entendo que não é censurável a denúncia da lide do funcionário, contra o qual pode a administração promover ação de reparação dos danos que teria causado a terceiro no exercício da função pública. Esta ato não o prejudica, possibilitando desenvolver a defesa para provar que agiu sem culpa, excluindo, destarte, sua responsabilidade perante o Município sendo adequável ao art. 70 nº II, págs. 115 e 124; Ap. nº 8.995 e AGI nº 2.457/79, do Tribunal de Justiça referidos pelo réu. Arquivo do Ementário Forense, TA/698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impossibilidade de denunciação da lide do funcionário pelo Estado, porque diversa é a relação jurídica entre este e o servidor público responsável no caso de dolo ou culpa, e aquele e o cidadão que sofreu a lesão de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2026-10-26T05:54:16.756Z</dcterms:created>
  <dcterms:modified xsi:type="dcterms:W3CDTF">2026-10-26T05:54:16.756Z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