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12/09/1985</w:t>
      </w:r>
    </w:p>
    <w:p/>
    <w:p>
      <w:r>
        <w:t xml:space="preserve">SEPARAÇÃO EM CURSO — ACORDO DE PARTILHA AINDA NÃO REGISTRADO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Cuido, entretanto, que o recurso extraordinário proceda, pela letra a, pois estão prequestionados, e resultam molestadas, os dispositivos da lei civil e do registro que fazem depender a transferência da propriedade da inscrição nos livros competentes, inclusive tornando obrigatório o registro imobiliário das decisões sobre partilha de bens em separação judicial, quando estejam envolvidos imóveis comuns. - É certo que a separação consensual, desde que homologada, põe fim à sociedade conjugal, mas os bens comuns permanecem em condomínio, até que a partilha produza os seus efeitos, o que somente se dará, com relação aos imóveis, quando da inscrição no registro competente. Sendo o imóvel do casal, enquanto não transcrita a partilha, não poderá qualquer dos cônjuges invocar propriedade ou posse exclusivas para sob esse título, livrá-lo da penhora. - Vale destacar no caso, a Embargante somente invoca como fundamento jurídico para a defesa do imóvel, na sua totalidade, esse título de exclusiva propriedade ou posse, e não por exemplo, a proteção da sua meação, ou ainda a sua não responsabilidade na dívida que está sendo executada por não beneficiar o casal, questões que sequer são suscitadas. - Pelo exposto, conheço do recurso e dou-lhe provimento para restabelecer a sentença de primeiro grau. Julgado em 13-09-1985 Revista Trimestral de Jurisprudência. Fevereiro, 1986 - Vol. 115 - Pág. 947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cabem embargos de terceiro contra a penhora de bem do casal, cuja separação se acha em curso se o acordo de partilha, que destina o imóvel ao conjugue embargante, não foi ainda levado ao competente registro de imóveis.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2026-07-28T02:09:59.862Z</dcterms:created>
  <dcterms:modified xsi:type="dcterms:W3CDTF">2026-07-28T02:09:59.862Z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